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42CB5" w14:textId="77777777" w:rsidR="00801BC9" w:rsidRDefault="00801BC9" w:rsidP="003B204B">
      <w:pPr>
        <w:pStyle w:val="papertitle"/>
      </w:pPr>
    </w:p>
    <w:p w14:paraId="19D409B0" w14:textId="1F71CCB6" w:rsidR="007E678B" w:rsidRPr="006E0632" w:rsidRDefault="00CF77E0" w:rsidP="003B204B">
      <w:pPr>
        <w:jc w:val="center"/>
      </w:pPr>
      <w:r w:rsidRPr="006E0632">
        <w:rPr>
          <w:rFonts w:eastAsia="MS Mincho"/>
          <w:i/>
          <w:iCs/>
          <w:noProof/>
          <w:sz w:val="48"/>
          <w:szCs w:val="48"/>
          <w:lang w:val="en-US"/>
        </w:rPr>
        <w:t>CFD simulation of CO</w:t>
      </w:r>
      <w:r w:rsidRPr="006E0632">
        <w:rPr>
          <w:rFonts w:eastAsia="MS Mincho"/>
          <w:i/>
          <w:iCs/>
          <w:noProof/>
          <w:sz w:val="48"/>
          <w:szCs w:val="48"/>
          <w:vertAlign w:val="subscript"/>
          <w:lang w:val="en-US"/>
        </w:rPr>
        <w:t>2</w:t>
      </w:r>
      <w:r w:rsidRPr="006E0632">
        <w:rPr>
          <w:rFonts w:eastAsia="MS Mincho"/>
          <w:i/>
          <w:iCs/>
          <w:noProof/>
          <w:sz w:val="48"/>
          <w:szCs w:val="48"/>
          <w:lang w:val="en-US"/>
        </w:rPr>
        <w:t xml:space="preserve"> capture using graphene-oxide/MDEA nanofluid in a packed bed column</w:t>
      </w:r>
    </w:p>
    <w:p w14:paraId="768462AD" w14:textId="0E1D2BE2" w:rsidR="007E678B" w:rsidRPr="006E0632" w:rsidRDefault="00CF77E0" w:rsidP="003B204B">
      <w:pPr>
        <w:pStyle w:val="Author"/>
      </w:pPr>
      <w:r w:rsidRPr="006E0632">
        <w:t>Soleiman Mosleh*, Hadis Khaksar</w:t>
      </w:r>
    </w:p>
    <w:p w14:paraId="4FCA7A76" w14:textId="58F30BC7" w:rsidR="007E678B" w:rsidRPr="006E0632" w:rsidRDefault="00CF77E0" w:rsidP="00BB4270">
      <w:pPr>
        <w:pStyle w:val="Affiliation"/>
      </w:pPr>
      <w:r w:rsidRPr="006E0632">
        <w:t>Polymer Engineering Department</w:t>
      </w:r>
    </w:p>
    <w:p w14:paraId="25C8E533" w14:textId="1F5EC74A" w:rsidR="007E678B" w:rsidRPr="006E0632" w:rsidRDefault="00CF77E0" w:rsidP="00031D86">
      <w:pPr>
        <w:pStyle w:val="Affiliation"/>
      </w:pPr>
      <w:r w:rsidRPr="006E0632">
        <w:t>Faculty of Gas and Petroleum, Yasouj University</w:t>
      </w:r>
    </w:p>
    <w:p w14:paraId="270D9152" w14:textId="35426050" w:rsidR="007E678B" w:rsidRPr="006E0632" w:rsidRDefault="00CF77E0" w:rsidP="00CF77E0">
      <w:pPr>
        <w:pStyle w:val="Affiliation"/>
        <w:tabs>
          <w:tab w:val="center" w:pos="5220"/>
          <w:tab w:val="left" w:pos="9390"/>
        </w:tabs>
      </w:pPr>
      <w:r w:rsidRPr="006E0632">
        <w:t>Gachsaran, Iran</w:t>
      </w:r>
    </w:p>
    <w:p w14:paraId="4E8CCEAE" w14:textId="77777777" w:rsidR="007E678B" w:rsidRPr="006E0632" w:rsidRDefault="007E678B" w:rsidP="003B204B">
      <w:pPr>
        <w:pStyle w:val="Affiliation"/>
        <w:tabs>
          <w:tab w:val="center" w:pos="5220"/>
          <w:tab w:val="left" w:pos="9390"/>
        </w:tabs>
      </w:pPr>
    </w:p>
    <w:p w14:paraId="491DC6AB" w14:textId="77777777" w:rsidR="00BB4270" w:rsidRPr="006E0632" w:rsidRDefault="00BB4270" w:rsidP="003B204B">
      <w:pPr>
        <w:pStyle w:val="Affiliation"/>
      </w:pPr>
    </w:p>
    <w:p w14:paraId="165B797F" w14:textId="77777777" w:rsidR="007E678B" w:rsidRPr="006E0632" w:rsidRDefault="007E678B" w:rsidP="003B204B">
      <w:pPr>
        <w:pStyle w:val="Affiliation"/>
      </w:pPr>
    </w:p>
    <w:p w14:paraId="4E50BBC7" w14:textId="60C95FDD" w:rsidR="007E678B" w:rsidRPr="006E0632" w:rsidRDefault="00BB4270" w:rsidP="00D40FB7">
      <w:pPr>
        <w:pStyle w:val="Affiliation"/>
        <w:jc w:val="left"/>
      </w:pPr>
      <w:r w:rsidRPr="006E0632">
        <w:t>*E</w:t>
      </w:r>
      <w:r w:rsidR="007E678B" w:rsidRPr="006E0632">
        <w:t>-mail address</w:t>
      </w:r>
      <w:r w:rsidRPr="006E0632">
        <w:t xml:space="preserve"> of the corresponding author</w:t>
      </w:r>
      <w:r w:rsidR="00CF77E0" w:rsidRPr="006E0632">
        <w:t xml:space="preserve">: </w:t>
      </w:r>
      <w:r w:rsidR="00CF77E0" w:rsidRPr="006E0632">
        <w:rPr>
          <w:color w:val="0000FF"/>
        </w:rPr>
        <w:t>Mosleh@yu.ac.ir</w:t>
      </w:r>
    </w:p>
    <w:p w14:paraId="0A409571" w14:textId="77777777" w:rsidR="007E678B" w:rsidRPr="006E0632" w:rsidRDefault="007E678B" w:rsidP="003B204B">
      <w:pPr>
        <w:jc w:val="center"/>
        <w:rPr>
          <w:lang w:val="en-US"/>
        </w:rPr>
      </w:pPr>
    </w:p>
    <w:p w14:paraId="6AB1C2DA" w14:textId="77777777" w:rsidR="007E678B" w:rsidRPr="006E0632" w:rsidRDefault="007E678B" w:rsidP="003B204B">
      <w:pPr>
        <w:jc w:val="both"/>
        <w:rPr>
          <w:lang w:val="en-US"/>
        </w:rPr>
      </w:pPr>
    </w:p>
    <w:p w14:paraId="408D04E1" w14:textId="77777777" w:rsidR="007E678B" w:rsidRPr="006E0632" w:rsidRDefault="007E678B" w:rsidP="003B204B">
      <w:pPr>
        <w:pStyle w:val="Affiliation"/>
        <w:jc w:val="both"/>
      </w:pPr>
    </w:p>
    <w:p w14:paraId="7D0103DA" w14:textId="77777777" w:rsidR="007E678B" w:rsidRPr="006E0632" w:rsidRDefault="007E678B" w:rsidP="003B204B">
      <w:pPr>
        <w:jc w:val="both"/>
        <w:rPr>
          <w:lang w:val="en-US"/>
        </w:rPr>
      </w:pPr>
    </w:p>
    <w:p w14:paraId="2AFDB36A" w14:textId="77777777" w:rsidR="007E678B" w:rsidRPr="006E0632" w:rsidRDefault="007E678B" w:rsidP="003B204B">
      <w:pPr>
        <w:tabs>
          <w:tab w:val="left" w:pos="3915"/>
        </w:tabs>
        <w:jc w:val="both"/>
      </w:pPr>
      <w:r w:rsidRPr="006E0632">
        <w:rPr>
          <w:lang w:val="en-US"/>
        </w:rPr>
        <w:tab/>
      </w:r>
    </w:p>
    <w:p w14:paraId="61D8AEAA" w14:textId="77777777" w:rsidR="00E80C01" w:rsidRPr="006E0632" w:rsidRDefault="007E678B" w:rsidP="00E80C01">
      <w:pPr>
        <w:pStyle w:val="Abstract"/>
        <w:spacing w:after="0"/>
        <w:rPr>
          <w:rStyle w:val="StyleAbstractItalicChar"/>
          <w:b/>
          <w:bCs/>
        </w:rPr>
      </w:pPr>
      <w:r w:rsidRPr="006E0632">
        <w:rPr>
          <w:rStyle w:val="StyleAbstractItalicChar"/>
          <w:b/>
          <w:bCs/>
        </w:rPr>
        <w:t>Abstract</w:t>
      </w:r>
    </w:p>
    <w:p w14:paraId="49BB78EE" w14:textId="3DE2948A" w:rsidR="007E678B" w:rsidRPr="006E0632" w:rsidRDefault="008016D3" w:rsidP="00FC1152">
      <w:pPr>
        <w:pStyle w:val="Abstract"/>
        <w:spacing w:after="0"/>
        <w:rPr>
          <w:b w:val="0"/>
          <w:bCs w:val="0"/>
          <w:i/>
          <w:iCs/>
        </w:rPr>
      </w:pPr>
      <w:r w:rsidRPr="006E0632">
        <w:t xml:space="preserve"> </w:t>
      </w:r>
      <w:r w:rsidR="00FC1152" w:rsidRPr="006E0632">
        <w:rPr>
          <w:b w:val="0"/>
          <w:bCs w:val="0"/>
          <w:i/>
          <w:iCs/>
        </w:rPr>
        <w:t>A three-dimensional (3D) model was proposed for carbon dioxide (CO</w:t>
      </w:r>
      <w:r w:rsidR="00FC1152" w:rsidRPr="006E0632">
        <w:rPr>
          <w:b w:val="0"/>
          <w:bCs w:val="0"/>
          <w:i/>
          <w:iCs/>
          <w:vertAlign w:val="subscript"/>
        </w:rPr>
        <w:t>2</w:t>
      </w:r>
      <w:r w:rsidR="00FC1152" w:rsidRPr="006E0632">
        <w:rPr>
          <w:b w:val="0"/>
          <w:bCs w:val="0"/>
          <w:i/>
          <w:iCs/>
        </w:rPr>
        <w:t>) capture from a gas mixture using a packed bed column. Nanofluids of graphene-oxide nanoparticles were used as absorbents. The governing equations were solved using computational fluid dynamics technique (CFD), while the concentration and velocity profiles were determined under different operating conditions. The increases in the capture efficiency for graphene-oxide/MDEA nanofluid with concentration of 0.05 vol% in comparison with bare MDEA was 24.30%. The obtained results from the proposed model were compared with the experimental data, which findings revealed that there was a good agreement between the CFD predictions and the experimental results.</w:t>
      </w:r>
    </w:p>
    <w:p w14:paraId="381B1C60" w14:textId="77777777" w:rsidR="007E678B" w:rsidRPr="006E0632" w:rsidRDefault="007E678B" w:rsidP="003B204B">
      <w:pPr>
        <w:pStyle w:val="keywords"/>
      </w:pPr>
    </w:p>
    <w:p w14:paraId="031C6785" w14:textId="56150982" w:rsidR="007E678B" w:rsidRPr="006E0632" w:rsidRDefault="007E678B" w:rsidP="006F0BB1">
      <w:pPr>
        <w:pStyle w:val="keywords"/>
      </w:pPr>
      <w:r w:rsidRPr="006E0632">
        <w:t>Keywords</w:t>
      </w:r>
      <w:r w:rsidR="006F0BB1" w:rsidRPr="006E0632">
        <w:t>: CFD, Nanofluid, CO</w:t>
      </w:r>
      <w:r w:rsidR="006F0BB1" w:rsidRPr="006E0632">
        <w:rPr>
          <w:vertAlign w:val="subscript"/>
        </w:rPr>
        <w:t>2</w:t>
      </w:r>
      <w:r w:rsidR="006F0BB1" w:rsidRPr="006E0632">
        <w:t xml:space="preserve"> Capture, Packed bed, Graphene-oxide/MDEA</w:t>
      </w:r>
    </w:p>
    <w:p w14:paraId="73BC0838" w14:textId="77777777" w:rsidR="007E678B" w:rsidRPr="006E0632" w:rsidRDefault="007E678B" w:rsidP="003B204B">
      <w:pPr>
        <w:pStyle w:val="keywords"/>
      </w:pPr>
      <w:r w:rsidRPr="006E0632">
        <w:t>_________________________________________________________________________________________________</w:t>
      </w:r>
    </w:p>
    <w:p w14:paraId="0F944150" w14:textId="77777777" w:rsidR="00FB3BD4" w:rsidRPr="006E0632" w:rsidRDefault="00FB3BD4" w:rsidP="003B204B">
      <w:pPr>
        <w:jc w:val="both"/>
        <w:sectPr w:rsidR="00FB3BD4" w:rsidRPr="006E0632" w:rsidSect="00E84C49">
          <w:headerReference w:type="even" r:id="rId8"/>
          <w:headerReference w:type="default" r:id="rId9"/>
          <w:headerReference w:type="first" r:id="rId10"/>
          <w:footnotePr>
            <w:numFmt w:val="lowerLetter"/>
          </w:footnotePr>
          <w:pgSz w:w="11907" w:h="16840" w:code="9"/>
          <w:pgMar w:top="1440" w:right="1440" w:bottom="1440" w:left="1440" w:header="0" w:footer="1195" w:gutter="0"/>
          <w:cols w:space="720"/>
          <w:docGrid w:linePitch="360"/>
        </w:sectPr>
      </w:pPr>
    </w:p>
    <w:p w14:paraId="459A52EF" w14:textId="0A416DC1" w:rsidR="00FB3BD4" w:rsidRPr="006E0632" w:rsidRDefault="00FC6B5E" w:rsidP="003B204B">
      <w:pPr>
        <w:pStyle w:val="Els-1storder-head"/>
        <w:jc w:val="both"/>
      </w:pPr>
      <w:r w:rsidRPr="006E0632">
        <w:lastRenderedPageBreak/>
        <w:t>Introduction</w:t>
      </w:r>
    </w:p>
    <w:p w14:paraId="25B20774" w14:textId="4350CCF9" w:rsidR="00FC6B5E" w:rsidRPr="006E0632" w:rsidRDefault="00FC6B5E" w:rsidP="00216BB1">
      <w:pPr>
        <w:pStyle w:val="Els-body-text"/>
      </w:pPr>
      <w:r w:rsidRPr="006E0632">
        <w:rPr>
          <w:rFonts w:asciiTheme="majorBidi" w:hAnsiTheme="majorBidi" w:cstheme="majorBidi"/>
          <w:color w:val="000000" w:themeColor="text1"/>
        </w:rPr>
        <w:t>A dramatic demand for energy, especially fossil fuels, has led to the emission of environmental pollutions. This can mainly correspond to a huge amount of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emitted during operational processes in different industries</w:t>
      </w:r>
      <w:r w:rsidR="00287991">
        <w:rPr>
          <w:rFonts w:asciiTheme="majorBidi" w:hAnsiTheme="majorBidi" w:cstheme="majorBidi"/>
          <w:color w:val="000000" w:themeColor="text1"/>
        </w:rPr>
        <w:t xml:space="preserve"> [1].</w:t>
      </w:r>
      <w:r w:rsidRPr="006E0632">
        <w:rPr>
          <w:rFonts w:asciiTheme="majorBidi" w:hAnsiTheme="majorBidi" w:cstheme="majorBidi"/>
          <w:color w:val="000000" w:themeColor="text1"/>
        </w:rPr>
        <w:t xml:space="preserve"> </w:t>
      </w:r>
      <w:r w:rsidR="009C0144">
        <w:rPr>
          <w:rFonts w:asciiTheme="majorBidi" w:hAnsiTheme="majorBidi" w:cstheme="majorBidi"/>
          <w:color w:val="000000" w:themeColor="text1"/>
        </w:rPr>
        <w:t>Despite</w:t>
      </w:r>
      <w:r w:rsidR="005D1970">
        <w:rPr>
          <w:rFonts w:asciiTheme="majorBidi" w:hAnsiTheme="majorBidi" w:cstheme="majorBidi"/>
          <w:color w:val="000000" w:themeColor="text1"/>
        </w:rPr>
        <w:t xml:space="preserve"> different international activities such</w:t>
      </w:r>
      <w:r w:rsidR="009C0144">
        <w:rPr>
          <w:rFonts w:asciiTheme="majorBidi" w:hAnsiTheme="majorBidi" w:cstheme="majorBidi"/>
          <w:color w:val="000000" w:themeColor="text1"/>
        </w:rPr>
        <w:t xml:space="preserve"> the </w:t>
      </w:r>
      <w:r w:rsidR="009C0144" w:rsidRPr="009C0144">
        <w:rPr>
          <w:rFonts w:asciiTheme="majorBidi" w:hAnsiTheme="majorBidi" w:cstheme="majorBidi"/>
          <w:color w:val="000000" w:themeColor="text1"/>
        </w:rPr>
        <w:t xml:space="preserve">Kyoto </w:t>
      </w:r>
      <w:r w:rsidRPr="006E0632">
        <w:rPr>
          <w:rFonts w:asciiTheme="majorBidi" w:hAnsiTheme="majorBidi" w:cstheme="majorBidi"/>
          <w:color w:val="000000" w:themeColor="text1"/>
        </w:rPr>
        <w:t>Protocol and the Paris Agreement for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reduction, it seems that no serious actions have been done at the industry level.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is one of the main sources of greenhouse gases which its emission should be controlled owing to associated with rising</w:t>
      </w:r>
      <w:r w:rsidR="00287991">
        <w:rPr>
          <w:rFonts w:asciiTheme="majorBidi" w:hAnsiTheme="majorBidi" w:cstheme="majorBidi"/>
          <w:color w:val="000000" w:themeColor="text1"/>
        </w:rPr>
        <w:t xml:space="preserve"> global mean surface temperature [2]</w:t>
      </w:r>
      <w:r w:rsidRPr="006E0632">
        <w:rPr>
          <w:rFonts w:asciiTheme="majorBidi" w:hAnsiTheme="majorBidi" w:cstheme="majorBidi"/>
          <w:color w:val="000000" w:themeColor="text1"/>
        </w:rPr>
        <w:t>. Although various techniques such as liquid phase absorption, solid-phase adsorption, cryogenic, and membrane separation have been used to capture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each of them has its benefits and limitations. Among the various techniques, the Amine-based absorption process is widely used especially in oil refineries</w:t>
      </w:r>
      <w:r w:rsidR="00287991">
        <w:rPr>
          <w:rFonts w:asciiTheme="majorBidi" w:hAnsiTheme="majorBidi" w:cstheme="majorBidi"/>
          <w:color w:val="000000" w:themeColor="text1"/>
        </w:rPr>
        <w:t xml:space="preserve"> [3].</w:t>
      </w:r>
      <w:r w:rsidRPr="006E0632">
        <w:rPr>
          <w:rFonts w:asciiTheme="majorBidi" w:hAnsiTheme="majorBidi" w:cstheme="majorBidi"/>
          <w:color w:val="000000" w:themeColor="text1"/>
        </w:rPr>
        <w:t xml:space="preserve"> Despite the acceptable efficiency, absorption using Amin solutions is still an energy-intensive method. Since the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solubility in the liquid phase is a function of temperature and pressure, its solubility increases by increasing pressure and decreasing temperature. Hence, high pressure and low temperature conditions are the desired operating conditions for absorption processes. These operating conditions are energy intensive, which </w:t>
      </w:r>
      <w:r w:rsidR="00287991">
        <w:rPr>
          <w:rFonts w:asciiTheme="majorBidi" w:hAnsiTheme="majorBidi" w:cstheme="majorBidi"/>
          <w:color w:val="000000" w:themeColor="text1"/>
        </w:rPr>
        <w:t>results in high operating costs [4].</w:t>
      </w:r>
      <w:r w:rsidRPr="006E0632">
        <w:rPr>
          <w:rFonts w:asciiTheme="majorBidi" w:hAnsiTheme="majorBidi" w:cstheme="majorBidi"/>
          <w:color w:val="000000" w:themeColor="text1"/>
        </w:rPr>
        <w:t xml:space="preserve"> The gas-liquid mass transfer plays an important role in the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capture process. Therefore, finding an efficient technique that could improve the mass transfer between gas and liquid leads to reducing the equipment volume and operating costs</w:t>
      </w:r>
      <w:r w:rsidR="00287991">
        <w:rPr>
          <w:rFonts w:asciiTheme="majorBidi" w:hAnsiTheme="majorBidi" w:cstheme="majorBidi"/>
          <w:color w:val="000000" w:themeColor="text1"/>
        </w:rPr>
        <w:t xml:space="preserve"> [5].</w:t>
      </w:r>
      <w:r w:rsidRPr="006E0632">
        <w:rPr>
          <w:rFonts w:asciiTheme="majorBidi" w:hAnsiTheme="majorBidi" w:cstheme="majorBidi"/>
          <w:color w:val="000000" w:themeColor="text1"/>
        </w:rPr>
        <w:t xml:space="preserve"> The addition of nanostructures to the Amine solutions can be an innovative method to enhance mass transfer. The micro-convection </w:t>
      </w:r>
      <w:r w:rsidRPr="006E0632">
        <w:rPr>
          <w:rFonts w:asciiTheme="majorBidi" w:hAnsiTheme="majorBidi" w:cstheme="majorBidi"/>
          <w:color w:val="000000" w:themeColor="text1"/>
        </w:rPr>
        <w:lastRenderedPageBreak/>
        <w:t xml:space="preserve">related to the presence of suspended nanostructures can affect the energy transfer process inside the </w:t>
      </w:r>
      <w:r w:rsidR="00287991">
        <w:rPr>
          <w:rFonts w:asciiTheme="majorBidi" w:hAnsiTheme="majorBidi" w:cstheme="majorBidi"/>
          <w:color w:val="000000" w:themeColor="text1"/>
        </w:rPr>
        <w:t>solution [6]</w:t>
      </w:r>
      <w:r w:rsidRPr="006E0632">
        <w:rPr>
          <w:rFonts w:asciiTheme="majorBidi" w:hAnsiTheme="majorBidi" w:cstheme="majorBidi"/>
          <w:color w:val="000000" w:themeColor="text1"/>
        </w:rPr>
        <w:t>. In fact, adding the nanostructures to the solvents to achieve nanofluids can significantly reduce the mass transfer resistance and enhance the absorption process performance</w:t>
      </w:r>
      <w:r w:rsidR="00287991">
        <w:rPr>
          <w:rFonts w:asciiTheme="majorBidi" w:hAnsiTheme="majorBidi" w:cstheme="majorBidi"/>
          <w:color w:val="000000" w:themeColor="text1"/>
        </w:rPr>
        <w:t xml:space="preserve"> [7].</w:t>
      </w:r>
      <w:r w:rsidRPr="006E0632">
        <w:rPr>
          <w:rFonts w:asciiTheme="majorBidi" w:hAnsiTheme="majorBidi" w:cstheme="majorBidi"/>
          <w:color w:val="000000" w:themeColor="text1"/>
        </w:rPr>
        <w:t xml:space="preserve"> Accordingly, in this work the performance of graphene-oxide/MDEA nanofluid was evaluated for intensification of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capture. Moreover, for a better and deeper understanding of the process, a 3D CFD model was developed to simulate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capture using graphene-oxide/MDEA nanofluid in a packed bed column.</w:t>
      </w:r>
    </w:p>
    <w:p w14:paraId="04D2CA92" w14:textId="77777777" w:rsidR="00FC6B5E" w:rsidRPr="006E0632" w:rsidRDefault="00FC6B5E" w:rsidP="0048591A">
      <w:pPr>
        <w:pStyle w:val="Els-body-text"/>
      </w:pPr>
    </w:p>
    <w:p w14:paraId="49DF999F" w14:textId="575BCACB" w:rsidR="00B532B6" w:rsidRPr="006E0632" w:rsidRDefault="00B532B6" w:rsidP="00B532B6">
      <w:pPr>
        <w:pStyle w:val="Els-1storder-head"/>
      </w:pPr>
      <w:r w:rsidRPr="006E0632">
        <w:t>Experimental Apparatus and Procedures</w:t>
      </w:r>
    </w:p>
    <w:p w14:paraId="2775F6E4" w14:textId="4C0CCAE9" w:rsidR="00B532B6" w:rsidRPr="006E0632" w:rsidRDefault="00B532B6" w:rsidP="00937E4A">
      <w:pPr>
        <w:pStyle w:val="Els-body-text"/>
      </w:pPr>
      <w:r w:rsidRPr="006E0632">
        <w:rPr>
          <w:rFonts w:asciiTheme="majorBidi" w:hAnsiTheme="majorBidi" w:cstheme="majorBidi"/>
          <w:color w:val="000000" w:themeColor="text1"/>
        </w:rPr>
        <w:t xml:space="preserve">The schematic diagram of the packed bed setup is shown in </w:t>
      </w:r>
      <w:r w:rsidRPr="006E0632">
        <w:rPr>
          <w:rFonts w:asciiTheme="majorBidi" w:hAnsiTheme="majorBidi" w:cstheme="majorBidi"/>
          <w:color w:val="0000FF"/>
        </w:rPr>
        <w:t>Fig</w:t>
      </w:r>
      <w:r w:rsidR="00937E4A" w:rsidRPr="006E0632">
        <w:rPr>
          <w:rFonts w:asciiTheme="majorBidi" w:hAnsiTheme="majorBidi" w:cstheme="majorBidi"/>
          <w:color w:val="0000FF"/>
        </w:rPr>
        <w:t>ure</w:t>
      </w:r>
      <w:r w:rsidRPr="006E0632">
        <w:rPr>
          <w:rFonts w:asciiTheme="majorBidi" w:hAnsiTheme="majorBidi" w:cstheme="majorBidi"/>
          <w:color w:val="0000FF"/>
        </w:rPr>
        <w:t xml:space="preserve"> 1</w:t>
      </w:r>
      <w:r w:rsidRPr="006E0632">
        <w:rPr>
          <w:rFonts w:asciiTheme="majorBidi" w:hAnsiTheme="majorBidi" w:cstheme="majorBidi"/>
          <w:color w:val="000000" w:themeColor="text1"/>
        </w:rPr>
        <w:t xml:space="preserve">. The designed system consists of a column filled with </w:t>
      </w:r>
      <w:r w:rsidRPr="006E0632">
        <w:rPr>
          <w:rStyle w:val="Emphasis"/>
          <w:rFonts w:asciiTheme="majorBidi" w:hAnsiTheme="majorBidi" w:cstheme="majorBidi"/>
          <w:i w:val="0"/>
          <w:iCs w:val="0"/>
          <w:color w:val="000000" w:themeColor="text1"/>
          <w:shd w:val="clear" w:color="auto" w:fill="FFFFFF"/>
        </w:rPr>
        <w:t>Rasching</w:t>
      </w:r>
      <w:r w:rsidRPr="006E0632">
        <w:rPr>
          <w:rFonts w:asciiTheme="majorBidi" w:hAnsiTheme="majorBidi" w:cstheme="majorBidi"/>
          <w:color w:val="000000" w:themeColor="text1"/>
        </w:rPr>
        <w:t xml:space="preserve"> rings,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and N</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cylinders, gas flow meters, pump, and storage tank. To run the experiments,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and N</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flow rates were adjusted using the flow meters then enter to in a packed bed, while the graphene-oxide nanofluid was pumped from the storage tank. To achieve the steady state condition, the system had to operate for 15 minutes. The gas concentration in the inlet and outlet was determined using a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-meter. All the experiments were performed at room temperature and atmospheric pressure. </w:t>
      </w:r>
    </w:p>
    <w:p w14:paraId="21D13A1E" w14:textId="77777777" w:rsidR="00937E4A" w:rsidRPr="006E0632" w:rsidRDefault="00937E4A" w:rsidP="00937E4A">
      <w:pPr>
        <w:pStyle w:val="Els-body-text"/>
      </w:pPr>
    </w:p>
    <w:p w14:paraId="311CFDDB" w14:textId="77777777" w:rsidR="00937E4A" w:rsidRPr="006E0632" w:rsidRDefault="00937E4A" w:rsidP="00937E4A">
      <w:pPr>
        <w:jc w:val="center"/>
        <w:rPr>
          <w:rFonts w:asciiTheme="majorBidi" w:hAnsiTheme="majorBidi" w:cstheme="majorBidi"/>
          <w:color w:val="000000" w:themeColor="text1"/>
        </w:rPr>
      </w:pPr>
      <w:r w:rsidRPr="006E0632">
        <w:rPr>
          <w:rFonts w:asciiTheme="majorBidi" w:hAnsiTheme="majorBidi" w:cstheme="majorBidi"/>
          <w:noProof/>
          <w:lang w:val="en-US" w:bidi="fa-IR"/>
        </w:rPr>
        <w:drawing>
          <wp:inline distT="0" distB="0" distL="0" distR="0" wp14:anchorId="7B19C4CD" wp14:editId="2E4BDFDF">
            <wp:extent cx="2828088" cy="28223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aturation sat="200000"/>
                              </a14:imgEffect>
                            </a14:imgLayer>
                          </a14:imgProps>
                        </a:ext>
                      </a:extLst>
                    </a:blip>
                    <a:stretch>
                      <a:fillRect/>
                    </a:stretch>
                  </pic:blipFill>
                  <pic:spPr>
                    <a:xfrm>
                      <a:off x="0" y="0"/>
                      <a:ext cx="2877090" cy="2871233"/>
                    </a:xfrm>
                    <a:prstGeom prst="rect">
                      <a:avLst/>
                    </a:prstGeom>
                  </pic:spPr>
                </pic:pic>
              </a:graphicData>
            </a:graphic>
          </wp:inline>
        </w:drawing>
      </w:r>
    </w:p>
    <w:p w14:paraId="404390E0" w14:textId="77777777" w:rsidR="00937E4A" w:rsidRPr="006E0632" w:rsidRDefault="00937E4A" w:rsidP="00937E4A">
      <w:pPr>
        <w:jc w:val="center"/>
        <w:rPr>
          <w:rFonts w:asciiTheme="majorBidi" w:hAnsiTheme="majorBidi" w:cstheme="majorBidi"/>
          <w:color w:val="000000" w:themeColor="text1"/>
          <w:sz w:val="16"/>
          <w:szCs w:val="16"/>
        </w:rPr>
      </w:pPr>
      <w:r w:rsidRPr="006E0632">
        <w:rPr>
          <w:rFonts w:asciiTheme="majorBidi" w:hAnsiTheme="majorBidi" w:cstheme="majorBidi"/>
          <w:color w:val="000000" w:themeColor="text1"/>
          <w:sz w:val="16"/>
          <w:szCs w:val="16"/>
        </w:rPr>
        <w:t>Figure 1. Schematic diagram of used CO</w:t>
      </w:r>
      <w:r w:rsidRPr="006E0632">
        <w:rPr>
          <w:rFonts w:asciiTheme="majorBidi" w:hAnsiTheme="majorBidi" w:cstheme="majorBidi"/>
          <w:color w:val="000000" w:themeColor="text1"/>
          <w:sz w:val="16"/>
          <w:szCs w:val="16"/>
          <w:vertAlign w:val="subscript"/>
        </w:rPr>
        <w:t>2</w:t>
      </w:r>
      <w:r w:rsidRPr="006E0632">
        <w:rPr>
          <w:rFonts w:asciiTheme="majorBidi" w:hAnsiTheme="majorBidi" w:cstheme="majorBidi"/>
          <w:color w:val="000000" w:themeColor="text1"/>
          <w:sz w:val="16"/>
          <w:szCs w:val="16"/>
        </w:rPr>
        <w:t xml:space="preserve"> capture set-up.</w:t>
      </w:r>
    </w:p>
    <w:p w14:paraId="142BE54E" w14:textId="77777777" w:rsidR="00937E4A" w:rsidRPr="006E0632" w:rsidRDefault="00937E4A" w:rsidP="00937E4A">
      <w:pPr>
        <w:pStyle w:val="Els-body-text"/>
      </w:pPr>
    </w:p>
    <w:p w14:paraId="5E1A0671" w14:textId="77777777" w:rsidR="00B532B6" w:rsidRPr="006E0632" w:rsidRDefault="00B532B6" w:rsidP="00BB4270">
      <w:pPr>
        <w:pStyle w:val="Els-body-text"/>
      </w:pPr>
    </w:p>
    <w:p w14:paraId="6A9C99A8" w14:textId="36311FE7" w:rsidR="00FB3BD4" w:rsidRPr="006E0632" w:rsidRDefault="00427515" w:rsidP="00427515">
      <w:pPr>
        <w:pStyle w:val="Els-1storder-head"/>
      </w:pPr>
      <w:r w:rsidRPr="006E0632">
        <w:t>Model development</w:t>
      </w:r>
    </w:p>
    <w:p w14:paraId="717AFBBA" w14:textId="4D67CC92" w:rsidR="007C046F" w:rsidRPr="006E0632" w:rsidRDefault="007C046F" w:rsidP="007C046F">
      <w:pPr>
        <w:pStyle w:val="Els-body-text"/>
      </w:pPr>
      <w:r w:rsidRPr="006E0632">
        <w:rPr>
          <w:rFonts w:asciiTheme="majorBidi" w:hAnsiTheme="majorBidi" w:cstheme="majorBidi"/>
          <w:color w:val="000000" w:themeColor="text1"/>
        </w:rPr>
        <w:t>A 3D CFD model was employed to predict CO</w:t>
      </w:r>
      <w:r w:rsidRPr="006E0632">
        <w:rPr>
          <w:rFonts w:asciiTheme="majorBidi" w:hAnsiTheme="majorBidi" w:cstheme="majorBidi"/>
          <w:color w:val="000000" w:themeColor="text1"/>
          <w:vertAlign w:val="subscript"/>
        </w:rPr>
        <w:t>2</w:t>
      </w:r>
      <w:r w:rsidRPr="006E0632">
        <w:rPr>
          <w:rFonts w:asciiTheme="majorBidi" w:hAnsiTheme="majorBidi" w:cstheme="majorBidi"/>
          <w:color w:val="000000" w:themeColor="text1"/>
        </w:rPr>
        <w:t xml:space="preserve"> concentration profile and depict the hydrodynamics in the packed bed column. The governing equations consist of mass, momentum and energy conservation with other equations such as species transport equations were solved using finite element methods built in the efficient COMSOL Multi-physics software package. The computational domain with different grid sizes was considered and sensitivity analysis was performed to ensure that the CFD predictions are mesh independent and optimal number of cells was used. Finally, the computational domain with 6052 cells is suitable for the modeling purpose.</w:t>
      </w:r>
      <w:r w:rsidRPr="006E0632">
        <w:rPr>
          <w:rFonts w:asciiTheme="majorBidi" w:hAnsiTheme="majorBidi" w:cstheme="majorBidi"/>
        </w:rPr>
        <w:t xml:space="preserve"> </w:t>
      </w:r>
      <w:r w:rsidRPr="006E0632">
        <w:rPr>
          <w:rFonts w:asciiTheme="majorBidi" w:hAnsiTheme="majorBidi" w:cstheme="majorBidi"/>
          <w:color w:val="000000" w:themeColor="text1"/>
        </w:rPr>
        <w:t xml:space="preserve">The schematic sketch of the packed bed column geometry is shown in </w:t>
      </w:r>
      <w:r w:rsidRPr="006E0632">
        <w:rPr>
          <w:rFonts w:asciiTheme="majorBidi" w:hAnsiTheme="majorBidi" w:cstheme="majorBidi"/>
          <w:color w:val="0000FF"/>
        </w:rPr>
        <w:t>Figure 2</w:t>
      </w:r>
      <w:r w:rsidRPr="006E0632">
        <w:rPr>
          <w:rFonts w:asciiTheme="majorBidi" w:hAnsiTheme="majorBidi" w:cstheme="majorBidi"/>
          <w:color w:val="000000" w:themeColor="text1"/>
        </w:rPr>
        <w:t>.</w:t>
      </w:r>
    </w:p>
    <w:p w14:paraId="7EC9433A" w14:textId="77777777" w:rsidR="007C046F" w:rsidRPr="006E0632" w:rsidRDefault="007C046F" w:rsidP="007C046F">
      <w:pPr>
        <w:pStyle w:val="Els-body-text"/>
      </w:pPr>
    </w:p>
    <w:p w14:paraId="1617F6CC" w14:textId="77777777" w:rsidR="007C046F" w:rsidRPr="006E0632" w:rsidRDefault="007C046F" w:rsidP="007C046F">
      <w:pPr>
        <w:jc w:val="center"/>
        <w:rPr>
          <w:rFonts w:asciiTheme="majorBidi" w:hAnsiTheme="majorBidi" w:cstheme="majorBidi"/>
          <w:color w:val="000000" w:themeColor="text1"/>
        </w:rPr>
      </w:pPr>
      <w:r w:rsidRPr="006E0632">
        <w:rPr>
          <w:rFonts w:asciiTheme="majorBidi" w:hAnsiTheme="majorBidi" w:cstheme="majorBidi"/>
          <w:noProof/>
          <w:color w:val="000000" w:themeColor="text1"/>
          <w:lang w:val="en-US" w:bidi="fa-IR"/>
        </w:rPr>
        <w:lastRenderedPageBreak/>
        <w:drawing>
          <wp:inline distT="0" distB="0" distL="0" distR="0" wp14:anchorId="7D58D731" wp14:editId="46064E54">
            <wp:extent cx="1415561" cy="232419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extLst>
                        <a:ext uri="{28A0092B-C50C-407E-A947-70E740481C1C}">
                          <a14:useLocalDpi xmlns:a14="http://schemas.microsoft.com/office/drawing/2010/main" val="0"/>
                        </a:ext>
                      </a:extLst>
                    </a:blip>
                    <a:srcRect l="39608" t="4594" r="39419" b="5152"/>
                    <a:stretch/>
                  </pic:blipFill>
                  <pic:spPr>
                    <a:xfrm>
                      <a:off x="0" y="0"/>
                      <a:ext cx="1442271" cy="2368053"/>
                    </a:xfrm>
                    <a:prstGeom prst="rect">
                      <a:avLst/>
                    </a:prstGeom>
                  </pic:spPr>
                </pic:pic>
              </a:graphicData>
            </a:graphic>
          </wp:inline>
        </w:drawing>
      </w:r>
    </w:p>
    <w:p w14:paraId="3063BD10" w14:textId="3CDC0C62" w:rsidR="007C046F" w:rsidRPr="006E0632" w:rsidRDefault="007C046F" w:rsidP="007C046F">
      <w:pPr>
        <w:jc w:val="center"/>
        <w:rPr>
          <w:rFonts w:asciiTheme="majorBidi" w:hAnsiTheme="majorBidi" w:cstheme="majorBidi"/>
          <w:color w:val="000000" w:themeColor="text1"/>
          <w:sz w:val="16"/>
          <w:szCs w:val="16"/>
        </w:rPr>
      </w:pPr>
      <w:r w:rsidRPr="006E0632">
        <w:rPr>
          <w:rFonts w:asciiTheme="majorBidi" w:hAnsiTheme="majorBidi" w:cstheme="majorBidi"/>
          <w:color w:val="000000" w:themeColor="text1"/>
          <w:sz w:val="16"/>
          <w:szCs w:val="16"/>
        </w:rPr>
        <w:t xml:space="preserve">Figure 2. </w:t>
      </w:r>
      <w:r w:rsidRPr="006E0632">
        <w:rPr>
          <w:rFonts w:asciiTheme="majorBidi" w:hAnsiTheme="majorBidi" w:cstheme="majorBidi"/>
          <w:sz w:val="16"/>
          <w:szCs w:val="16"/>
        </w:rPr>
        <w:t>Schematic sketch of the packed bed column geometry</w:t>
      </w:r>
      <w:r w:rsidRPr="006E0632">
        <w:rPr>
          <w:rFonts w:asciiTheme="majorBidi" w:hAnsiTheme="majorBidi" w:cstheme="majorBidi"/>
          <w:color w:val="000000" w:themeColor="text1"/>
          <w:sz w:val="16"/>
          <w:szCs w:val="16"/>
        </w:rPr>
        <w:t>.</w:t>
      </w:r>
    </w:p>
    <w:p w14:paraId="6DE559B9" w14:textId="77777777" w:rsidR="007C046F" w:rsidRPr="006E0632" w:rsidRDefault="007C046F" w:rsidP="007C046F">
      <w:pPr>
        <w:pStyle w:val="Els-1storder-head"/>
      </w:pPr>
      <w:r w:rsidRPr="006E0632">
        <w:t>Results and discussions</w:t>
      </w:r>
    </w:p>
    <w:p w14:paraId="69FE33BB" w14:textId="1C23BFDA" w:rsidR="007C046F" w:rsidRPr="006E0632" w:rsidRDefault="007C046F" w:rsidP="000C6B21">
      <w:pPr>
        <w:pStyle w:val="Els-reference-head"/>
        <w:spacing w:before="240" w:after="240" w:line="240" w:lineRule="exact"/>
        <w:ind w:firstLine="245"/>
        <w:jc w:val="both"/>
        <w:rPr>
          <w:b w:val="0"/>
          <w:bCs/>
        </w:rPr>
      </w:pPr>
      <w:r w:rsidRPr="006E0632">
        <w:rPr>
          <w:rFonts w:asciiTheme="majorBidi" w:hAnsiTheme="majorBidi" w:cstheme="majorBidi"/>
          <w:b w:val="0"/>
          <w:bCs/>
          <w:color w:val="000000" w:themeColor="text1"/>
        </w:rPr>
        <w:t xml:space="preserve">Contour plots of velocity magnitude and pressure at the different sections are shown in </w:t>
      </w:r>
      <w:r w:rsidRPr="006E0632">
        <w:rPr>
          <w:rFonts w:asciiTheme="majorBidi" w:hAnsiTheme="majorBidi" w:cstheme="majorBidi"/>
          <w:b w:val="0"/>
          <w:bCs/>
          <w:color w:val="0000FF"/>
        </w:rPr>
        <w:t>Figure 3</w:t>
      </w:r>
      <w:r w:rsidRPr="006E0632">
        <w:rPr>
          <w:rFonts w:asciiTheme="majorBidi" w:hAnsiTheme="majorBidi" w:cstheme="majorBidi"/>
          <w:b w:val="0"/>
          <w:bCs/>
          <w:color w:val="000000" w:themeColor="text1"/>
        </w:rPr>
        <w:t xml:space="preserve"> and </w:t>
      </w:r>
      <w:r w:rsidRPr="006E0632">
        <w:rPr>
          <w:rFonts w:asciiTheme="majorBidi" w:hAnsiTheme="majorBidi" w:cstheme="majorBidi"/>
          <w:b w:val="0"/>
          <w:bCs/>
          <w:color w:val="0000FF"/>
        </w:rPr>
        <w:t>Figure 4</w:t>
      </w:r>
      <w:r w:rsidRPr="006E0632">
        <w:rPr>
          <w:rFonts w:asciiTheme="majorBidi" w:hAnsiTheme="majorBidi" w:cstheme="majorBidi"/>
          <w:b w:val="0"/>
          <w:bCs/>
          <w:color w:val="000000" w:themeColor="text1"/>
        </w:rPr>
        <w:t>, respectively, while the contour plot of CO</w:t>
      </w:r>
      <w:r w:rsidRPr="006E0632">
        <w:rPr>
          <w:rFonts w:asciiTheme="majorBidi" w:hAnsiTheme="majorBidi" w:cstheme="majorBidi"/>
          <w:b w:val="0"/>
          <w:bCs/>
          <w:color w:val="000000" w:themeColor="text1"/>
          <w:vertAlign w:val="subscript"/>
        </w:rPr>
        <w:t>2</w:t>
      </w:r>
      <w:r w:rsidRPr="006E0632">
        <w:rPr>
          <w:rFonts w:asciiTheme="majorBidi" w:hAnsiTheme="majorBidi" w:cstheme="majorBidi"/>
          <w:b w:val="0"/>
          <w:bCs/>
          <w:color w:val="000000" w:themeColor="text1"/>
        </w:rPr>
        <w:t xml:space="preserve"> concentration during the column length is shown in </w:t>
      </w:r>
      <w:r w:rsidRPr="006E0632">
        <w:rPr>
          <w:rFonts w:asciiTheme="majorBidi" w:hAnsiTheme="majorBidi" w:cstheme="majorBidi"/>
          <w:b w:val="0"/>
          <w:bCs/>
          <w:color w:val="0000FF"/>
        </w:rPr>
        <w:t>Figure 5</w:t>
      </w:r>
      <w:r w:rsidRPr="006E0632">
        <w:rPr>
          <w:rFonts w:asciiTheme="majorBidi" w:hAnsiTheme="majorBidi" w:cstheme="majorBidi"/>
          <w:b w:val="0"/>
          <w:bCs/>
          <w:color w:val="000000" w:themeColor="text1"/>
        </w:rPr>
        <w:t xml:space="preserve">. </w:t>
      </w:r>
      <w:r w:rsidR="000C6B21">
        <w:rPr>
          <w:rFonts w:asciiTheme="majorBidi" w:hAnsiTheme="majorBidi" w:cstheme="majorBidi"/>
          <w:b w:val="0"/>
          <w:bCs/>
          <w:color w:val="000000" w:themeColor="text1"/>
        </w:rPr>
        <w:t>T</w:t>
      </w:r>
      <w:r w:rsidRPr="006E0632">
        <w:rPr>
          <w:rFonts w:asciiTheme="majorBidi" w:hAnsiTheme="majorBidi" w:cstheme="majorBidi"/>
          <w:b w:val="0"/>
          <w:bCs/>
          <w:color w:val="000000" w:themeColor="text1"/>
        </w:rPr>
        <w:t>he Findings indicated that at a given gas flow rate, the capture efficiency increases by increasing the nanofluid volume fraction. The performance of graphene-oxide/MDEA nanofluid for CO</w:t>
      </w:r>
      <w:r w:rsidRPr="006E0632">
        <w:rPr>
          <w:rFonts w:asciiTheme="majorBidi" w:hAnsiTheme="majorBidi" w:cstheme="majorBidi"/>
          <w:b w:val="0"/>
          <w:bCs/>
          <w:color w:val="000000" w:themeColor="text1"/>
          <w:vertAlign w:val="subscript"/>
        </w:rPr>
        <w:t>2</w:t>
      </w:r>
      <w:r w:rsidRPr="006E0632">
        <w:rPr>
          <w:rFonts w:asciiTheme="majorBidi" w:hAnsiTheme="majorBidi" w:cstheme="majorBidi"/>
          <w:b w:val="0"/>
          <w:bCs/>
          <w:color w:val="000000" w:themeColor="text1"/>
        </w:rPr>
        <w:t xml:space="preserve"> capturing was higher than bare MDEA solution. The increase in the capture efficiency for graphene-oxide/MDEA nanofluids with containing 0.05 vol% of nanoparticles in comparison with bare MDEA was 24.30%. This higher performance may be owing to the grazing effects, micro-convection, and Brownian motions. According to the grazing effect, the graphene-oxide nanoparticles adsorb the absorbing CO</w:t>
      </w:r>
      <w:r w:rsidRPr="006E0632">
        <w:rPr>
          <w:rFonts w:asciiTheme="majorBidi" w:hAnsiTheme="majorBidi" w:cstheme="majorBidi"/>
          <w:b w:val="0"/>
          <w:bCs/>
          <w:color w:val="000000" w:themeColor="text1"/>
          <w:vertAlign w:val="subscript"/>
        </w:rPr>
        <w:t>2</w:t>
      </w:r>
      <w:r w:rsidRPr="006E0632">
        <w:rPr>
          <w:rFonts w:asciiTheme="majorBidi" w:hAnsiTheme="majorBidi" w:cstheme="majorBidi"/>
          <w:b w:val="0"/>
          <w:bCs/>
          <w:color w:val="000000" w:themeColor="text1"/>
        </w:rPr>
        <w:t xml:space="preserve"> molecules in a small film layer, and then move right through the concentration boundary layer, finally desorb the adsorbed molecules into the bulk liquid. Presence of nanoparticles also can cause micro-convection because of the Brownian motion of graphene-oxide nanoparticles, which in turn the micro-convection can improve the mass diffusion in the graphene-oxide/MDEA nanofluid. By contrast, the shuttle mechanism resulting from the movement of the graphene-oxide nanoparticle to and from the liquid–gas interface absorbs the CO</w:t>
      </w:r>
      <w:r w:rsidRPr="006E0632">
        <w:rPr>
          <w:rFonts w:asciiTheme="majorBidi" w:hAnsiTheme="majorBidi" w:cstheme="majorBidi"/>
          <w:b w:val="0"/>
          <w:bCs/>
          <w:color w:val="000000" w:themeColor="text1"/>
          <w:vertAlign w:val="subscript"/>
        </w:rPr>
        <w:t>2</w:t>
      </w:r>
      <w:r w:rsidRPr="006E0632">
        <w:rPr>
          <w:rFonts w:asciiTheme="majorBidi" w:hAnsiTheme="majorBidi" w:cstheme="majorBidi"/>
          <w:b w:val="0"/>
          <w:bCs/>
          <w:color w:val="000000" w:themeColor="text1"/>
        </w:rPr>
        <w:t xml:space="preserve"> and desorbs it to bulk the liquid. Hence, the continuous movement of graphene-oxide nanoparticles between the bulk liquid and liquid–gas interface enhances the mass transfer. </w:t>
      </w:r>
    </w:p>
    <w:p w14:paraId="58137C47" w14:textId="77777777" w:rsidR="007C046F" w:rsidRPr="006E0632" w:rsidRDefault="007C046F" w:rsidP="007C046F">
      <w:pPr>
        <w:jc w:val="center"/>
        <w:rPr>
          <w:rFonts w:asciiTheme="majorBidi" w:hAnsiTheme="majorBidi" w:cstheme="majorBidi"/>
          <w:bCs/>
          <w:color w:val="000000" w:themeColor="text1"/>
        </w:rPr>
      </w:pPr>
      <w:r w:rsidRPr="006E0632">
        <w:rPr>
          <w:rFonts w:asciiTheme="majorBidi" w:hAnsiTheme="majorBidi" w:cstheme="majorBidi"/>
          <w:bCs/>
          <w:noProof/>
          <w:lang w:val="en-US" w:bidi="fa-IR"/>
        </w:rPr>
        <w:drawing>
          <wp:inline distT="0" distB="0" distL="0" distR="0" wp14:anchorId="6877EF24" wp14:editId="02361DEE">
            <wp:extent cx="3657600" cy="249378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5626" cy="2526527"/>
                    </a:xfrm>
                    <a:prstGeom prst="rect">
                      <a:avLst/>
                    </a:prstGeom>
                  </pic:spPr>
                </pic:pic>
              </a:graphicData>
            </a:graphic>
          </wp:inline>
        </w:drawing>
      </w:r>
    </w:p>
    <w:p w14:paraId="7E93867B" w14:textId="0D62A8E6" w:rsidR="007C046F" w:rsidRPr="006E0632" w:rsidRDefault="007C046F" w:rsidP="00820D66">
      <w:pPr>
        <w:jc w:val="center"/>
        <w:rPr>
          <w:rFonts w:asciiTheme="majorBidi" w:hAnsiTheme="majorBidi" w:cstheme="majorBidi"/>
          <w:bCs/>
          <w:color w:val="000000" w:themeColor="text1"/>
          <w:sz w:val="16"/>
          <w:szCs w:val="16"/>
        </w:rPr>
      </w:pPr>
      <w:r w:rsidRPr="006E0632">
        <w:rPr>
          <w:rFonts w:asciiTheme="majorBidi" w:hAnsiTheme="majorBidi" w:cstheme="majorBidi"/>
          <w:bCs/>
          <w:color w:val="000000" w:themeColor="text1"/>
          <w:sz w:val="16"/>
          <w:szCs w:val="16"/>
        </w:rPr>
        <w:t>Figure 3. Contour plot of velocity magnitude</w:t>
      </w:r>
      <w:r w:rsidR="00820D66">
        <w:rPr>
          <w:rFonts w:asciiTheme="majorBidi" w:hAnsiTheme="majorBidi" w:cstheme="majorBidi"/>
          <w:bCs/>
          <w:color w:val="000000" w:themeColor="text1"/>
          <w:sz w:val="16"/>
          <w:szCs w:val="16"/>
        </w:rPr>
        <w:t xml:space="preserve"> (Gas phase)</w:t>
      </w:r>
      <w:r w:rsidRPr="006E0632">
        <w:rPr>
          <w:rFonts w:asciiTheme="majorBidi" w:hAnsiTheme="majorBidi" w:cstheme="majorBidi"/>
          <w:bCs/>
          <w:color w:val="000000" w:themeColor="text1"/>
          <w:sz w:val="16"/>
          <w:szCs w:val="16"/>
        </w:rPr>
        <w:t xml:space="preserve"> at the different sections.</w:t>
      </w:r>
    </w:p>
    <w:p w14:paraId="746A6A00" w14:textId="77777777" w:rsidR="00DE6978" w:rsidRPr="006E0632" w:rsidRDefault="00DE6978" w:rsidP="007C046F">
      <w:pPr>
        <w:jc w:val="center"/>
        <w:rPr>
          <w:rFonts w:asciiTheme="majorBidi" w:hAnsiTheme="majorBidi" w:cstheme="majorBidi"/>
          <w:bCs/>
          <w:color w:val="000000" w:themeColor="text1"/>
          <w:sz w:val="16"/>
          <w:szCs w:val="16"/>
        </w:rPr>
      </w:pPr>
    </w:p>
    <w:p w14:paraId="1B42913E" w14:textId="77777777" w:rsidR="00DE6978" w:rsidRPr="006E0632" w:rsidRDefault="00DE6978" w:rsidP="007C046F">
      <w:pPr>
        <w:jc w:val="center"/>
        <w:rPr>
          <w:rFonts w:asciiTheme="majorBidi" w:hAnsiTheme="majorBidi" w:cstheme="majorBidi"/>
          <w:bCs/>
          <w:color w:val="000000" w:themeColor="text1"/>
          <w:sz w:val="16"/>
          <w:szCs w:val="16"/>
        </w:rPr>
      </w:pPr>
    </w:p>
    <w:p w14:paraId="6698D7A9" w14:textId="60398F7D" w:rsidR="007C046F" w:rsidRPr="006E0632" w:rsidRDefault="007C046F" w:rsidP="007C046F">
      <w:pPr>
        <w:jc w:val="center"/>
        <w:rPr>
          <w:rFonts w:asciiTheme="majorBidi" w:hAnsiTheme="majorBidi" w:cstheme="majorBidi"/>
          <w:bCs/>
          <w:color w:val="000000" w:themeColor="text1"/>
        </w:rPr>
      </w:pPr>
      <w:r w:rsidRPr="006E0632">
        <w:rPr>
          <w:rFonts w:asciiTheme="majorBidi" w:hAnsiTheme="majorBidi" w:cstheme="majorBidi"/>
          <w:bCs/>
          <w:noProof/>
          <w:lang w:val="en-US" w:bidi="fa-IR"/>
        </w:rPr>
        <w:lastRenderedPageBreak/>
        <w:drawing>
          <wp:inline distT="0" distB="0" distL="0" distR="0" wp14:anchorId="0D370148" wp14:editId="2CB2C6D0">
            <wp:extent cx="2804746" cy="24674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7387" cy="2496141"/>
                    </a:xfrm>
                    <a:prstGeom prst="rect">
                      <a:avLst/>
                    </a:prstGeom>
                  </pic:spPr>
                </pic:pic>
              </a:graphicData>
            </a:graphic>
          </wp:inline>
        </w:drawing>
      </w:r>
    </w:p>
    <w:p w14:paraId="10965353" w14:textId="53FA5CCD" w:rsidR="007C046F" w:rsidRPr="006E0632" w:rsidRDefault="007C046F" w:rsidP="007C046F">
      <w:pPr>
        <w:jc w:val="center"/>
        <w:rPr>
          <w:rFonts w:asciiTheme="majorBidi" w:hAnsiTheme="majorBidi" w:cstheme="majorBidi"/>
          <w:bCs/>
          <w:color w:val="000000" w:themeColor="text1"/>
          <w:sz w:val="16"/>
          <w:szCs w:val="16"/>
        </w:rPr>
      </w:pPr>
      <w:r w:rsidRPr="006E0632">
        <w:rPr>
          <w:rFonts w:asciiTheme="majorBidi" w:hAnsiTheme="majorBidi" w:cstheme="majorBidi"/>
          <w:bCs/>
          <w:color w:val="000000" w:themeColor="text1"/>
          <w:sz w:val="16"/>
          <w:szCs w:val="16"/>
        </w:rPr>
        <w:t xml:space="preserve">Figure 4.  Contour plot of pressure </w:t>
      </w:r>
      <w:r w:rsidR="00820D66">
        <w:rPr>
          <w:rFonts w:asciiTheme="majorBidi" w:hAnsiTheme="majorBidi" w:cstheme="majorBidi"/>
          <w:bCs/>
          <w:color w:val="000000" w:themeColor="text1"/>
          <w:sz w:val="16"/>
          <w:szCs w:val="16"/>
        </w:rPr>
        <w:t>(Gas phase)</w:t>
      </w:r>
      <w:r w:rsidR="00820D66" w:rsidRPr="006E0632">
        <w:rPr>
          <w:rFonts w:asciiTheme="majorBidi" w:hAnsiTheme="majorBidi" w:cstheme="majorBidi"/>
          <w:bCs/>
          <w:color w:val="000000" w:themeColor="text1"/>
          <w:sz w:val="16"/>
          <w:szCs w:val="16"/>
        </w:rPr>
        <w:t xml:space="preserve"> </w:t>
      </w:r>
      <w:bookmarkStart w:id="0" w:name="_GoBack"/>
      <w:bookmarkEnd w:id="0"/>
      <w:r w:rsidRPr="006E0632">
        <w:rPr>
          <w:rFonts w:asciiTheme="majorBidi" w:hAnsiTheme="majorBidi" w:cstheme="majorBidi"/>
          <w:bCs/>
          <w:color w:val="000000" w:themeColor="text1"/>
          <w:sz w:val="16"/>
          <w:szCs w:val="16"/>
        </w:rPr>
        <w:t>along the packed bed.</w:t>
      </w:r>
    </w:p>
    <w:p w14:paraId="23EC44F1" w14:textId="77777777" w:rsidR="007C046F" w:rsidRPr="006E0632" w:rsidRDefault="007C046F" w:rsidP="007C046F">
      <w:pPr>
        <w:jc w:val="center"/>
        <w:rPr>
          <w:rFonts w:asciiTheme="majorBidi" w:hAnsiTheme="majorBidi" w:cstheme="majorBidi"/>
          <w:bCs/>
          <w:color w:val="000000" w:themeColor="text1"/>
          <w:sz w:val="16"/>
          <w:szCs w:val="16"/>
        </w:rPr>
      </w:pPr>
    </w:p>
    <w:p w14:paraId="72076453" w14:textId="77777777" w:rsidR="007C046F" w:rsidRPr="006E0632" w:rsidRDefault="007C046F" w:rsidP="007C046F">
      <w:pPr>
        <w:rPr>
          <w:rFonts w:asciiTheme="majorBidi" w:hAnsiTheme="majorBidi" w:cstheme="majorBidi"/>
          <w:bCs/>
          <w:color w:val="000000" w:themeColor="text1"/>
        </w:rPr>
      </w:pPr>
    </w:p>
    <w:p w14:paraId="20A0C7CE" w14:textId="77777777" w:rsidR="007C046F" w:rsidRPr="006E0632" w:rsidRDefault="007C046F" w:rsidP="007C046F">
      <w:pPr>
        <w:jc w:val="center"/>
        <w:rPr>
          <w:rFonts w:asciiTheme="majorBidi" w:hAnsiTheme="majorBidi" w:cstheme="majorBidi"/>
          <w:bCs/>
          <w:color w:val="000000" w:themeColor="text1"/>
        </w:rPr>
      </w:pPr>
      <w:r w:rsidRPr="006E0632">
        <w:rPr>
          <w:rFonts w:asciiTheme="majorBidi" w:hAnsiTheme="majorBidi" w:cstheme="majorBidi"/>
          <w:bCs/>
          <w:noProof/>
          <w:lang w:val="en-US" w:bidi="fa-IR"/>
        </w:rPr>
        <w:drawing>
          <wp:inline distT="0" distB="0" distL="0" distR="0" wp14:anchorId="2B13FFEC" wp14:editId="394DBB1B">
            <wp:extent cx="4618299" cy="26284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7452" cy="2656404"/>
                    </a:xfrm>
                    <a:prstGeom prst="rect">
                      <a:avLst/>
                    </a:prstGeom>
                  </pic:spPr>
                </pic:pic>
              </a:graphicData>
            </a:graphic>
          </wp:inline>
        </w:drawing>
      </w:r>
    </w:p>
    <w:p w14:paraId="531DE2DB" w14:textId="77777777" w:rsidR="007C046F" w:rsidRPr="006E0632" w:rsidRDefault="007C046F" w:rsidP="007C046F">
      <w:pPr>
        <w:jc w:val="center"/>
        <w:rPr>
          <w:rFonts w:asciiTheme="majorBidi" w:hAnsiTheme="majorBidi" w:cstheme="majorBidi"/>
          <w:bCs/>
          <w:color w:val="000000" w:themeColor="text1"/>
          <w:sz w:val="16"/>
          <w:szCs w:val="16"/>
        </w:rPr>
      </w:pPr>
      <w:r w:rsidRPr="006E0632">
        <w:rPr>
          <w:rFonts w:asciiTheme="majorBidi" w:hAnsiTheme="majorBidi" w:cstheme="majorBidi"/>
          <w:bCs/>
          <w:color w:val="000000" w:themeColor="text1"/>
          <w:sz w:val="16"/>
          <w:szCs w:val="16"/>
        </w:rPr>
        <w:t>Figure 5. Contour plot of CO</w:t>
      </w:r>
      <w:r w:rsidRPr="006E0632">
        <w:rPr>
          <w:rFonts w:asciiTheme="majorBidi" w:hAnsiTheme="majorBidi" w:cstheme="majorBidi"/>
          <w:bCs/>
          <w:color w:val="000000" w:themeColor="text1"/>
          <w:sz w:val="16"/>
          <w:szCs w:val="16"/>
          <w:vertAlign w:val="subscript"/>
        </w:rPr>
        <w:t>2</w:t>
      </w:r>
      <w:r w:rsidRPr="006E0632">
        <w:rPr>
          <w:rFonts w:asciiTheme="majorBidi" w:hAnsiTheme="majorBidi" w:cstheme="majorBidi"/>
          <w:bCs/>
          <w:color w:val="000000" w:themeColor="text1"/>
          <w:sz w:val="16"/>
          <w:szCs w:val="16"/>
        </w:rPr>
        <w:t xml:space="preserve"> concentration during the column length.</w:t>
      </w:r>
    </w:p>
    <w:p w14:paraId="3C94CE2A" w14:textId="77777777" w:rsidR="007C046F" w:rsidRPr="006E0632" w:rsidRDefault="007C046F" w:rsidP="007C046F">
      <w:pPr>
        <w:jc w:val="center"/>
        <w:rPr>
          <w:rFonts w:asciiTheme="majorBidi" w:hAnsiTheme="majorBidi" w:cstheme="majorBidi"/>
          <w:bCs/>
          <w:color w:val="000000" w:themeColor="text1"/>
        </w:rPr>
      </w:pPr>
    </w:p>
    <w:p w14:paraId="33B5FC99" w14:textId="5B7EB65D" w:rsidR="007C046F" w:rsidRPr="006E0632" w:rsidRDefault="007C046F" w:rsidP="00225761">
      <w:pPr>
        <w:spacing w:line="240" w:lineRule="exact"/>
        <w:ind w:firstLine="245"/>
        <w:jc w:val="both"/>
        <w:rPr>
          <w:rFonts w:asciiTheme="majorBidi" w:hAnsiTheme="majorBidi" w:cstheme="majorBidi"/>
          <w:bCs/>
          <w:color w:val="000000" w:themeColor="text1"/>
        </w:rPr>
      </w:pPr>
      <w:r w:rsidRPr="006E0632">
        <w:rPr>
          <w:rFonts w:asciiTheme="majorBidi" w:hAnsiTheme="majorBidi" w:cstheme="majorBidi"/>
          <w:bCs/>
          <w:color w:val="000000" w:themeColor="text1"/>
        </w:rPr>
        <w:t>In order to verify the reliability and exactness of the CFD models, the predicted CO</w:t>
      </w:r>
      <w:r w:rsidRPr="006E0632">
        <w:rPr>
          <w:rFonts w:asciiTheme="majorBidi" w:hAnsiTheme="majorBidi" w:cstheme="majorBidi"/>
          <w:bCs/>
          <w:color w:val="000000" w:themeColor="text1"/>
          <w:vertAlign w:val="subscript"/>
        </w:rPr>
        <w:t>2</w:t>
      </w:r>
      <w:r w:rsidRPr="006E0632">
        <w:rPr>
          <w:rFonts w:asciiTheme="majorBidi" w:hAnsiTheme="majorBidi" w:cstheme="majorBidi"/>
          <w:bCs/>
          <w:color w:val="000000" w:themeColor="text1"/>
        </w:rPr>
        <w:t xml:space="preserve"> capture efficiency was compared with the experimental data. Comparison between the CFD predictions and experimental data (</w:t>
      </w:r>
      <w:r w:rsidRPr="00225761">
        <w:rPr>
          <w:rFonts w:asciiTheme="majorBidi" w:hAnsiTheme="majorBidi" w:cstheme="majorBidi"/>
          <w:bCs/>
          <w:color w:val="0000FF"/>
        </w:rPr>
        <w:t>Fig</w:t>
      </w:r>
      <w:r w:rsidR="00225761" w:rsidRPr="00225761">
        <w:rPr>
          <w:rFonts w:asciiTheme="majorBidi" w:hAnsiTheme="majorBidi" w:cstheme="majorBidi"/>
          <w:bCs/>
          <w:color w:val="0000FF"/>
        </w:rPr>
        <w:t>ure 6</w:t>
      </w:r>
      <w:r w:rsidRPr="006E0632">
        <w:rPr>
          <w:rFonts w:asciiTheme="majorBidi" w:hAnsiTheme="majorBidi" w:cstheme="majorBidi"/>
          <w:bCs/>
          <w:color w:val="000000" w:themeColor="text1"/>
        </w:rPr>
        <w:t>) showed a good agreement between the experimental data and CFD results.</w:t>
      </w:r>
    </w:p>
    <w:p w14:paraId="67A83D2A" w14:textId="77777777" w:rsidR="007C046F" w:rsidRPr="006E0632" w:rsidRDefault="007C046F" w:rsidP="007C046F">
      <w:pPr>
        <w:jc w:val="center"/>
        <w:rPr>
          <w:rFonts w:asciiTheme="majorBidi" w:hAnsiTheme="majorBidi" w:cstheme="majorBidi"/>
          <w:bCs/>
          <w:color w:val="000000" w:themeColor="text1"/>
        </w:rPr>
      </w:pPr>
      <w:r w:rsidRPr="006E0632">
        <w:rPr>
          <w:rFonts w:asciiTheme="majorBidi" w:hAnsiTheme="majorBidi" w:cstheme="majorBidi"/>
          <w:bCs/>
          <w:noProof/>
          <w:lang w:val="en-US" w:bidi="fa-IR"/>
        </w:rPr>
        <w:lastRenderedPageBreak/>
        <w:drawing>
          <wp:inline distT="0" distB="0" distL="0" distR="0" wp14:anchorId="760FC163" wp14:editId="40688472">
            <wp:extent cx="3831221" cy="295170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9728" cy="2965964"/>
                    </a:xfrm>
                    <a:prstGeom prst="rect">
                      <a:avLst/>
                    </a:prstGeom>
                  </pic:spPr>
                </pic:pic>
              </a:graphicData>
            </a:graphic>
          </wp:inline>
        </w:drawing>
      </w:r>
    </w:p>
    <w:p w14:paraId="3C3F6E51" w14:textId="77777777" w:rsidR="007C046F" w:rsidRPr="006E0632" w:rsidRDefault="007C046F" w:rsidP="007C046F">
      <w:pPr>
        <w:jc w:val="center"/>
        <w:rPr>
          <w:rFonts w:asciiTheme="majorBidi" w:hAnsiTheme="majorBidi" w:cstheme="majorBidi"/>
          <w:bCs/>
          <w:color w:val="000000" w:themeColor="text1"/>
        </w:rPr>
      </w:pPr>
      <w:r w:rsidRPr="006E0632">
        <w:rPr>
          <w:rFonts w:asciiTheme="majorBidi" w:hAnsiTheme="majorBidi" w:cstheme="majorBidi"/>
          <w:bCs/>
          <w:color w:val="000000" w:themeColor="text1"/>
        </w:rPr>
        <w:t>Figure 6. Comparison plot of the experimental and predict data.</w:t>
      </w:r>
    </w:p>
    <w:p w14:paraId="39D98CE0" w14:textId="77777777" w:rsidR="007C046F" w:rsidRPr="006E0632" w:rsidRDefault="007C046F" w:rsidP="007C046F">
      <w:pPr>
        <w:rPr>
          <w:lang w:val="en-US"/>
        </w:rPr>
      </w:pPr>
    </w:p>
    <w:p w14:paraId="760D40E1" w14:textId="427FD571" w:rsidR="007C046F" w:rsidRPr="006E0632" w:rsidRDefault="00DE6978" w:rsidP="00DE6978">
      <w:pPr>
        <w:pStyle w:val="Els-1storder-head"/>
      </w:pPr>
      <w:r w:rsidRPr="006E0632">
        <w:t>Conclusion</w:t>
      </w:r>
    </w:p>
    <w:p w14:paraId="3D2C3714" w14:textId="0E3FFAC0" w:rsidR="00DE6978" w:rsidRPr="006E0632" w:rsidRDefault="00DE6978" w:rsidP="00DE6978">
      <w:pPr>
        <w:pStyle w:val="Els-body-text"/>
      </w:pPr>
      <w:r w:rsidRPr="006E0632">
        <w:t>A comprehensive CFD model was developed to simulate CO</w:t>
      </w:r>
      <w:r w:rsidRPr="006E0632">
        <w:rPr>
          <w:vertAlign w:val="subscript"/>
        </w:rPr>
        <w:t>2</w:t>
      </w:r>
      <w:r w:rsidRPr="006E0632">
        <w:t xml:space="preserve"> capture using graphene-oxide/MDEA nanofluid in a packed bed column. The system operated in a countercurrent mode. For the model development, momentum and mass transfer equations were considered and were solved simultaneously. The model validation was evaluated through comparing the results obtained with the available experimental data. Findings indicated that the simulated results were in very good agreement with experimental data.</w:t>
      </w:r>
    </w:p>
    <w:p w14:paraId="0C067BC0" w14:textId="1ED8965D" w:rsidR="00FB3BD4" w:rsidRPr="006E0632" w:rsidRDefault="00FB3BD4" w:rsidP="003B204B">
      <w:pPr>
        <w:pStyle w:val="Els-reference-head"/>
        <w:spacing w:before="240" w:after="240"/>
        <w:jc w:val="both"/>
      </w:pPr>
      <w:r w:rsidRPr="006E0632">
        <w:t>References</w:t>
      </w:r>
    </w:p>
    <w:p w14:paraId="5078878C" w14:textId="50786071" w:rsidR="00F90EB0" w:rsidRPr="006E0632" w:rsidRDefault="00F90EB0" w:rsidP="006E0632">
      <w:pPr>
        <w:pStyle w:val="ColorfulList-Accent11"/>
        <w:tabs>
          <w:tab w:val="left" w:pos="1980"/>
        </w:tabs>
        <w:ind w:left="450" w:hanging="450"/>
        <w:jc w:val="both"/>
        <w:rPr>
          <w:rFonts w:ascii="Times New Roman" w:hAnsi="Times New Roman"/>
          <w:sz w:val="20"/>
        </w:rPr>
      </w:pPr>
      <w:r w:rsidRPr="006E0632">
        <w:rPr>
          <w:rFonts w:ascii="Times New Roman" w:hAnsi="Times New Roman"/>
          <w:sz w:val="20"/>
        </w:rPr>
        <w:t xml:space="preserve"> [1] Lee, W., Xu, R., Kim, S., Park, J.H. and Kang, Y.T., 2021. Nanofluid and nanoemulsion absorbents for the enhancement of CO</w:t>
      </w:r>
      <w:r w:rsidRPr="006E0632">
        <w:rPr>
          <w:rFonts w:ascii="Times New Roman" w:hAnsi="Times New Roman"/>
          <w:sz w:val="20"/>
          <w:vertAlign w:val="subscript"/>
        </w:rPr>
        <w:t>2</w:t>
      </w:r>
      <w:r w:rsidRPr="006E0632">
        <w:rPr>
          <w:rFonts w:ascii="Times New Roman" w:hAnsi="Times New Roman"/>
          <w:sz w:val="20"/>
        </w:rPr>
        <w:t xml:space="preserve"> absorption performance, Journal of Cleaner Production, 291, 125848.</w:t>
      </w:r>
    </w:p>
    <w:p w14:paraId="3518B1E2" w14:textId="0F7C0978" w:rsidR="00F90EB0" w:rsidRPr="006E0632" w:rsidRDefault="00F90EB0" w:rsidP="00484C1B">
      <w:pPr>
        <w:pStyle w:val="ColorfulList-Accent11"/>
        <w:tabs>
          <w:tab w:val="left" w:pos="1980"/>
        </w:tabs>
        <w:ind w:left="450" w:hanging="450"/>
        <w:jc w:val="both"/>
        <w:rPr>
          <w:rFonts w:ascii="Times New Roman" w:hAnsi="Times New Roman"/>
          <w:sz w:val="20"/>
        </w:rPr>
      </w:pPr>
      <w:r w:rsidRPr="006E0632">
        <w:rPr>
          <w:rFonts w:ascii="Times New Roman" w:hAnsi="Times New Roman"/>
          <w:sz w:val="20"/>
        </w:rPr>
        <w:t xml:space="preserve">[2] </w:t>
      </w:r>
      <w:r w:rsidR="00484C1B" w:rsidRPr="006E0632">
        <w:rPr>
          <w:rFonts w:ascii="Times New Roman" w:hAnsi="Times New Roman"/>
          <w:sz w:val="20"/>
        </w:rPr>
        <w:t>Ghasemi, M.H., Irani, V. and Tavasoli, A., 2020. Amino functionalized ZIF-90@ GO/MDEA nanofluid: As a new class of multi-hybrid systems to enhance the performance of amine solutions in CO</w:t>
      </w:r>
      <w:r w:rsidR="00484C1B" w:rsidRPr="006E0632">
        <w:rPr>
          <w:rFonts w:ascii="Times New Roman" w:hAnsi="Times New Roman"/>
          <w:sz w:val="20"/>
          <w:vertAlign w:val="subscript"/>
        </w:rPr>
        <w:t>2</w:t>
      </w:r>
      <w:r w:rsidR="00484C1B" w:rsidRPr="006E0632">
        <w:rPr>
          <w:rFonts w:ascii="Times New Roman" w:hAnsi="Times New Roman"/>
          <w:sz w:val="20"/>
        </w:rPr>
        <w:t xml:space="preserve"> absorption. Journal of Natural Gas Science and Engineering, 74, 103110.</w:t>
      </w:r>
    </w:p>
    <w:p w14:paraId="24840C20" w14:textId="326D39DB" w:rsidR="00484C1B" w:rsidRPr="006E0632" w:rsidRDefault="00484C1B" w:rsidP="000B07A3">
      <w:pPr>
        <w:pStyle w:val="ColorfulList-Accent11"/>
        <w:tabs>
          <w:tab w:val="left" w:pos="1980"/>
        </w:tabs>
        <w:ind w:left="450" w:hanging="450"/>
        <w:jc w:val="both"/>
        <w:rPr>
          <w:rFonts w:ascii="Times New Roman" w:hAnsi="Times New Roman"/>
          <w:sz w:val="20"/>
        </w:rPr>
      </w:pPr>
      <w:r w:rsidRPr="006E0632">
        <w:rPr>
          <w:rFonts w:ascii="Times New Roman" w:hAnsi="Times New Roman"/>
          <w:sz w:val="20"/>
        </w:rPr>
        <w:t>[3] Elhambakhsh, A. and Keshavarz, P., 2020. Effects of different amin-based core-shell magnetic NPs on CO</w:t>
      </w:r>
      <w:r w:rsidRPr="006E0632">
        <w:rPr>
          <w:rFonts w:ascii="Times New Roman" w:hAnsi="Times New Roman"/>
          <w:sz w:val="20"/>
          <w:vertAlign w:val="subscript"/>
        </w:rPr>
        <w:t>2</w:t>
      </w:r>
      <w:r w:rsidRPr="006E0632">
        <w:rPr>
          <w:rFonts w:ascii="Times New Roman" w:hAnsi="Times New Roman"/>
          <w:sz w:val="20"/>
        </w:rPr>
        <w:t xml:space="preserve"> capture using NMP solution at high pressures, Journal of Natural Gas Science and Engineering, 84, 103645.</w:t>
      </w:r>
    </w:p>
    <w:p w14:paraId="5C313609" w14:textId="4C3CA7D5" w:rsidR="00F90EB0" w:rsidRPr="006E0632" w:rsidRDefault="00484C1B" w:rsidP="000B07A3">
      <w:pPr>
        <w:pStyle w:val="ColorfulList-Accent11"/>
        <w:tabs>
          <w:tab w:val="left" w:pos="1980"/>
        </w:tabs>
        <w:ind w:left="450" w:hanging="450"/>
        <w:jc w:val="both"/>
        <w:rPr>
          <w:rFonts w:ascii="Times New Roman" w:hAnsi="Times New Roman"/>
          <w:sz w:val="20"/>
        </w:rPr>
      </w:pPr>
      <w:r w:rsidRPr="006E0632">
        <w:rPr>
          <w:rFonts w:ascii="Times New Roman" w:hAnsi="Times New Roman"/>
          <w:sz w:val="20"/>
        </w:rPr>
        <w:t>[4] Pahlevaninezhad, M., Etesami, N. and Nasr Esfahany, M., 2021. Improvement of CO</w:t>
      </w:r>
      <w:r w:rsidRPr="006E0632">
        <w:rPr>
          <w:rFonts w:ascii="Times New Roman" w:hAnsi="Times New Roman"/>
          <w:sz w:val="20"/>
          <w:vertAlign w:val="subscript"/>
        </w:rPr>
        <w:t>2</w:t>
      </w:r>
      <w:r w:rsidRPr="006E0632">
        <w:rPr>
          <w:rFonts w:ascii="Times New Roman" w:hAnsi="Times New Roman"/>
          <w:sz w:val="20"/>
        </w:rPr>
        <w:t xml:space="preserve"> absorption by Fe</w:t>
      </w:r>
      <w:r w:rsidRPr="006E0632">
        <w:rPr>
          <w:rFonts w:ascii="Times New Roman" w:hAnsi="Times New Roman"/>
          <w:sz w:val="20"/>
          <w:vertAlign w:val="subscript"/>
        </w:rPr>
        <w:t>3</w:t>
      </w:r>
      <w:r w:rsidRPr="006E0632">
        <w:rPr>
          <w:rFonts w:ascii="Times New Roman" w:hAnsi="Times New Roman"/>
          <w:sz w:val="20"/>
        </w:rPr>
        <w:t>O</w:t>
      </w:r>
      <w:r w:rsidRPr="006E0632">
        <w:rPr>
          <w:rFonts w:ascii="Times New Roman" w:hAnsi="Times New Roman"/>
          <w:sz w:val="20"/>
          <w:vertAlign w:val="subscript"/>
        </w:rPr>
        <w:t>4</w:t>
      </w:r>
      <w:r w:rsidRPr="006E0632">
        <w:rPr>
          <w:rFonts w:ascii="Times New Roman" w:hAnsi="Times New Roman"/>
          <w:sz w:val="20"/>
        </w:rPr>
        <w:t>/water nanofluid falling liquid film in presence of the magnetic field, The Canadian Journal of Chemical Engineering, 99, 519-529.</w:t>
      </w:r>
    </w:p>
    <w:p w14:paraId="0CA8ECB5" w14:textId="09543862" w:rsidR="00F90EB0" w:rsidRPr="006E0632" w:rsidRDefault="00484C1B" w:rsidP="000B07A3">
      <w:pPr>
        <w:pStyle w:val="ColorfulList-Accent11"/>
        <w:tabs>
          <w:tab w:val="left" w:pos="1980"/>
        </w:tabs>
        <w:ind w:left="450" w:hanging="450"/>
        <w:jc w:val="both"/>
        <w:rPr>
          <w:rFonts w:ascii="Times New Roman" w:hAnsi="Times New Roman"/>
          <w:sz w:val="20"/>
        </w:rPr>
      </w:pPr>
      <w:r w:rsidRPr="006E0632">
        <w:rPr>
          <w:rFonts w:ascii="Times New Roman" w:hAnsi="Times New Roman"/>
          <w:sz w:val="20"/>
        </w:rPr>
        <w:t xml:space="preserve">[5] </w:t>
      </w:r>
      <w:r w:rsidR="000B07A3" w:rsidRPr="006E0632">
        <w:rPr>
          <w:rFonts w:ascii="Times New Roman" w:hAnsi="Times New Roman"/>
          <w:sz w:val="20"/>
        </w:rPr>
        <w:t>Cheng, S.Y., Liu, Y.Z. and Qi, G.S., 2020. Experimental study of CO</w:t>
      </w:r>
      <w:r w:rsidR="000B07A3" w:rsidRPr="006E0632">
        <w:rPr>
          <w:rFonts w:ascii="Times New Roman" w:hAnsi="Times New Roman"/>
          <w:sz w:val="20"/>
          <w:vertAlign w:val="subscript"/>
        </w:rPr>
        <w:t>2</w:t>
      </w:r>
      <w:r w:rsidR="000B07A3" w:rsidRPr="006E0632">
        <w:rPr>
          <w:rFonts w:ascii="Times New Roman" w:hAnsi="Times New Roman"/>
          <w:sz w:val="20"/>
        </w:rPr>
        <w:t xml:space="preserve"> capture enhanced by coal fly ash-synthesized NH</w:t>
      </w:r>
      <w:r w:rsidR="000B07A3" w:rsidRPr="006E0632">
        <w:rPr>
          <w:rFonts w:ascii="Times New Roman" w:hAnsi="Times New Roman"/>
          <w:sz w:val="20"/>
          <w:vertAlign w:val="subscript"/>
        </w:rPr>
        <w:t>2</w:t>
      </w:r>
      <w:r w:rsidR="000B07A3" w:rsidRPr="006E0632">
        <w:rPr>
          <w:rFonts w:ascii="Times New Roman" w:hAnsi="Times New Roman"/>
          <w:sz w:val="20"/>
        </w:rPr>
        <w:t>-MCM-41 coupled with high gravity technology, Chemical Engineering Journal, 400, 125946.</w:t>
      </w:r>
    </w:p>
    <w:p w14:paraId="7F03B3CE" w14:textId="17B1F127" w:rsidR="000B07A3" w:rsidRPr="006E0632" w:rsidRDefault="000B07A3" w:rsidP="000B07A3">
      <w:pPr>
        <w:pStyle w:val="ColorfulList-Accent11"/>
        <w:tabs>
          <w:tab w:val="left" w:pos="1980"/>
        </w:tabs>
        <w:ind w:left="450" w:hanging="450"/>
        <w:jc w:val="both"/>
        <w:rPr>
          <w:rFonts w:ascii="Times New Roman" w:hAnsi="Times New Roman"/>
          <w:sz w:val="20"/>
        </w:rPr>
      </w:pPr>
      <w:r w:rsidRPr="006E0632">
        <w:rPr>
          <w:rFonts w:ascii="Times New Roman" w:hAnsi="Times New Roman"/>
          <w:sz w:val="20"/>
        </w:rPr>
        <w:t>[6]</w:t>
      </w:r>
      <w:r w:rsidRPr="006E0632">
        <w:t xml:space="preserve"> </w:t>
      </w:r>
      <w:r w:rsidRPr="006E0632">
        <w:rPr>
          <w:rFonts w:ascii="Times New Roman" w:hAnsi="Times New Roman"/>
          <w:sz w:val="20"/>
        </w:rPr>
        <w:t>Rahimi, K., Riahi, S. and Abbasi, M., 2020. Effect of host fluid and hydrophilicity of multi-walled carbon nanotubes on stability and CO</w:t>
      </w:r>
      <w:r w:rsidRPr="006E0632">
        <w:rPr>
          <w:rFonts w:ascii="Times New Roman" w:hAnsi="Times New Roman"/>
          <w:sz w:val="20"/>
          <w:vertAlign w:val="subscript"/>
        </w:rPr>
        <w:t>2</w:t>
      </w:r>
      <w:r w:rsidRPr="006E0632">
        <w:rPr>
          <w:rFonts w:ascii="Times New Roman" w:hAnsi="Times New Roman"/>
          <w:sz w:val="20"/>
        </w:rPr>
        <w:t xml:space="preserve"> absorption of amine-based and water-based nanofluids. Journal of Environmental Chemical Engineering, 8, 103580.</w:t>
      </w:r>
    </w:p>
    <w:p w14:paraId="702A32EE" w14:textId="77C50156" w:rsidR="00690E74" w:rsidRPr="00690E74" w:rsidRDefault="000B07A3" w:rsidP="000B07A3">
      <w:pPr>
        <w:pStyle w:val="ColorfulList-Accent11"/>
        <w:tabs>
          <w:tab w:val="left" w:pos="1980"/>
        </w:tabs>
        <w:ind w:left="450" w:hanging="450"/>
        <w:jc w:val="both"/>
        <w:rPr>
          <w:rFonts w:ascii="Times New Roman" w:hAnsi="Times New Roman"/>
          <w:sz w:val="20"/>
        </w:rPr>
      </w:pPr>
      <w:r w:rsidRPr="006E0632">
        <w:rPr>
          <w:rFonts w:ascii="Times New Roman" w:hAnsi="Times New Roman"/>
          <w:sz w:val="20"/>
        </w:rPr>
        <w:t>[7]</w:t>
      </w:r>
      <w:r w:rsidRPr="006E0632">
        <w:t xml:space="preserve"> </w:t>
      </w:r>
      <w:r w:rsidRPr="006E0632">
        <w:rPr>
          <w:rFonts w:ascii="Times New Roman" w:hAnsi="Times New Roman"/>
          <w:sz w:val="20"/>
        </w:rPr>
        <w:t>Salih, H.A., Pokhrel, J., Reinalda, D., AlNashf, I., Khaleel, M., Vega, L.F., Karanikolos, G.N. and Zahra, M.A., 2021. Hybrid–Slurry/Nanofluid systems as alternative to conventional chemical absorption for carbon dioxide capture: A review, International Journal of Greenhouse Gas Control, 110, 103415.</w:t>
      </w:r>
    </w:p>
    <w:p w14:paraId="0BEB019A" w14:textId="77777777" w:rsidR="00FB3BD4" w:rsidRPr="00690E74" w:rsidRDefault="00FB3BD4" w:rsidP="000B07A3">
      <w:pPr>
        <w:pStyle w:val="ColorfulList-Accent11"/>
        <w:tabs>
          <w:tab w:val="left" w:pos="1980"/>
        </w:tabs>
        <w:ind w:left="450" w:hanging="450"/>
        <w:jc w:val="both"/>
        <w:rPr>
          <w:rFonts w:ascii="Times New Roman" w:hAnsi="Times New Roman"/>
          <w:sz w:val="20"/>
        </w:rPr>
      </w:pPr>
    </w:p>
    <w:sectPr w:rsidR="00FB3BD4" w:rsidRPr="00690E74" w:rsidSect="004C2316">
      <w:headerReference w:type="even" r:id="rId18"/>
      <w:headerReference w:type="default" r:id="rId19"/>
      <w:footnotePr>
        <w:numFmt w:val="lowerLetter"/>
      </w:footnotePr>
      <w:type w:val="continuous"/>
      <w:pgSz w:w="11907" w:h="16840" w:code="9"/>
      <w:pgMar w:top="754" w:right="1191" w:bottom="2126" w:left="1191" w:header="907" w:footer="1202" w:gutter="0"/>
      <w:cols w:space="36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0F02E" w14:textId="77777777" w:rsidR="00033763" w:rsidRDefault="00033763" w:rsidP="00FB3BD4">
      <w:r>
        <w:separator/>
      </w:r>
    </w:p>
  </w:endnote>
  <w:endnote w:type="continuationSeparator" w:id="0">
    <w:p w14:paraId="24620B9D" w14:textId="77777777" w:rsidR="00033763" w:rsidRDefault="00033763" w:rsidP="00FB3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Yagut">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8C2AB" w14:textId="77777777" w:rsidR="00033763" w:rsidRDefault="00033763" w:rsidP="00FB3BD4">
      <w:r>
        <w:separator/>
      </w:r>
    </w:p>
  </w:footnote>
  <w:footnote w:type="continuationSeparator" w:id="0">
    <w:p w14:paraId="7F94F2D2" w14:textId="77777777" w:rsidR="00033763" w:rsidRDefault="00033763" w:rsidP="00FB3B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0AC62" w14:textId="77777777" w:rsidR="004C2316" w:rsidRDefault="00656F00">
    <w:pPr>
      <w:widowControl/>
      <w:autoSpaceDE w:val="0"/>
      <w:autoSpaceDN w:val="0"/>
      <w:adjustRightInd w:val="0"/>
      <w:rPr>
        <w:i/>
        <w:iCs/>
      </w:rPr>
    </w:pPr>
    <w:r>
      <w:rPr>
        <w:rStyle w:val="PageNumber"/>
        <w:i/>
      </w:rPr>
      <w:fldChar w:fldCharType="begin"/>
    </w:r>
    <w:r w:rsidR="00FB3BD4">
      <w:rPr>
        <w:rStyle w:val="PageNumber"/>
        <w:i/>
      </w:rPr>
      <w:instrText xml:space="preserve"> PAGE </w:instrText>
    </w:r>
    <w:r>
      <w:rPr>
        <w:rStyle w:val="PageNumber"/>
        <w:i/>
      </w:rPr>
      <w:fldChar w:fldCharType="separate"/>
    </w:r>
    <w:r w:rsidR="00FB3BD4">
      <w:rPr>
        <w:rStyle w:val="PageNumber"/>
        <w:i/>
        <w:noProof/>
      </w:rPr>
      <w:t>2</w:t>
    </w:r>
    <w:r>
      <w:rPr>
        <w:rStyle w:val="PageNumber"/>
        <w:i/>
      </w:rPr>
      <w:fldChar w:fldCharType="end"/>
    </w:r>
    <w:r w:rsidR="00FB3BD4">
      <w:tab/>
      <w:t xml:space="preserve">                                              </w:t>
    </w:r>
    <w:r>
      <w:rPr>
        <w:i/>
        <w:iCs/>
      </w:rPr>
      <w:fldChar w:fldCharType="begin"/>
    </w:r>
    <w:r w:rsidR="00FB3BD4">
      <w:rPr>
        <w:i/>
        <w:iCs/>
      </w:rPr>
      <w:instrText xml:space="preserve"> MACROBUTTON NoMacro Author name </w:instrText>
    </w:r>
    <w:r>
      <w:rPr>
        <w:i/>
        <w:iCs/>
      </w:rPr>
      <w:fldChar w:fldCharType="end"/>
    </w:r>
    <w:r w:rsidR="00FB3BD4">
      <w:rPr>
        <w:i/>
        <w:iCs/>
      </w:rPr>
      <w:t>/ Procedia CIRP 00 (</w:t>
    </w:r>
    <w:r w:rsidR="00FB3BD4">
      <w:rPr>
        <w:rFonts w:hint="eastAsia"/>
        <w:i/>
        <w:iCs/>
      </w:rPr>
      <w:t>2011</w:t>
    </w:r>
    <w:r w:rsidR="00FB3BD4">
      <w:rPr>
        <w:i/>
        <w:iCs/>
      </w:rPr>
      <w:t>) 000–000</w:t>
    </w:r>
  </w:p>
  <w:p w14:paraId="240227C3" w14:textId="77777777" w:rsidR="004C2316" w:rsidRDefault="004C2316">
    <w:pPr>
      <w:widowControl/>
      <w:autoSpaceDE w:val="0"/>
      <w:autoSpaceDN w:val="0"/>
      <w:adjustRightInd w:val="0"/>
    </w:pPr>
  </w:p>
  <w:p w14:paraId="01BC1692" w14:textId="77777777" w:rsidR="00541749" w:rsidRDefault="0054174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88591" w14:textId="112390EF" w:rsidR="004C2316" w:rsidRPr="00E84C49" w:rsidRDefault="00E84C49" w:rsidP="00E84C49">
    <w:pPr>
      <w:pStyle w:val="Header"/>
      <w:ind w:left="-1418"/>
    </w:pPr>
    <w:r>
      <w:rPr>
        <w:lang w:bidi="fa-IR"/>
      </w:rPr>
      <w:drawing>
        <wp:inline distT="0" distB="0" distL="0" distR="0" wp14:anchorId="1C7BDDAB" wp14:editId="21A12F84">
          <wp:extent cx="753086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0860" cy="15430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Layout w:type="fixed"/>
      <w:tblCellMar>
        <w:left w:w="0" w:type="dxa"/>
        <w:right w:w="0" w:type="dxa"/>
      </w:tblCellMar>
      <w:tblLook w:val="0000" w:firstRow="0" w:lastRow="0" w:firstColumn="0" w:lastColumn="0" w:noHBand="0" w:noVBand="0"/>
    </w:tblPr>
    <w:tblGrid>
      <w:gridCol w:w="1701"/>
      <w:gridCol w:w="6379"/>
      <w:gridCol w:w="1550"/>
    </w:tblGrid>
    <w:tr w:rsidR="004C2316" w:rsidRPr="00EB154D" w14:paraId="3C4CBA0A" w14:textId="77777777" w:rsidTr="008C5813">
      <w:trPr>
        <w:cantSplit/>
        <w:trHeight w:val="955"/>
      </w:trPr>
      <w:tc>
        <w:tcPr>
          <w:tcW w:w="1701" w:type="dxa"/>
          <w:vMerge w:val="restart"/>
        </w:tcPr>
        <w:p w14:paraId="0231C87C" w14:textId="77777777" w:rsidR="004C2316" w:rsidRPr="0095383E" w:rsidRDefault="00E46DB3" w:rsidP="004C2316">
          <w:pPr>
            <w:pStyle w:val="FootnoteText"/>
            <w:rPr>
              <w:rFonts w:ascii="Georgia" w:hAnsi="Georgia"/>
              <w:sz w:val="120"/>
              <w:szCs w:val="120"/>
            </w:rPr>
          </w:pPr>
          <w:r w:rsidRPr="003E66D4">
            <w:rPr>
              <w:rFonts w:ascii="Georgia" w:hAnsi="Georgia"/>
              <w:noProof/>
              <w:sz w:val="24"/>
              <w:lang w:val="en-US" w:bidi="fa-IR"/>
            </w:rPr>
            <w:drawing>
              <wp:inline distT="0" distB="0" distL="0" distR="0" wp14:anchorId="6DD2828C" wp14:editId="3FE71405">
                <wp:extent cx="416560" cy="416560"/>
                <wp:effectExtent l="0" t="0" r="2540" b="254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inline>
            </w:drawing>
          </w:r>
          <w:r w:rsidRPr="003E66D4">
            <w:rPr>
              <w:rFonts w:ascii="Georgia" w:hAnsi="Georgia"/>
              <w:noProof/>
              <w:sz w:val="24"/>
              <w:lang w:val="en-US" w:bidi="fa-IR"/>
            </w:rPr>
            <w:drawing>
              <wp:inline distT="0" distB="0" distL="0" distR="0" wp14:anchorId="1EF7D1AB" wp14:editId="24335C66">
                <wp:extent cx="401320" cy="483235"/>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12962" r="9259"/>
                        <a:stretch>
                          <a:fillRect/>
                        </a:stretch>
                      </pic:blipFill>
                      <pic:spPr bwMode="auto">
                        <a:xfrm>
                          <a:off x="0" y="0"/>
                          <a:ext cx="401320" cy="483235"/>
                        </a:xfrm>
                        <a:prstGeom prst="rect">
                          <a:avLst/>
                        </a:prstGeom>
                        <a:noFill/>
                        <a:ln>
                          <a:noFill/>
                        </a:ln>
                      </pic:spPr>
                    </pic:pic>
                  </a:graphicData>
                </a:graphic>
              </wp:inline>
            </w:drawing>
          </w:r>
          <w:r>
            <w:rPr>
              <w:noProof/>
              <w:lang w:val="en-US" w:bidi="fa-IR"/>
            </w:rPr>
            <mc:AlternateContent>
              <mc:Choice Requires="wps">
                <w:drawing>
                  <wp:anchor distT="0" distB="0" distL="114300" distR="114300" simplePos="0" relativeHeight="251660288" behindDoc="0" locked="0" layoutInCell="1" allowOverlap="1" wp14:anchorId="616C6F46" wp14:editId="3620918B">
                    <wp:simplePos x="0" y="0"/>
                    <wp:positionH relativeFrom="column">
                      <wp:posOffset>501015</wp:posOffset>
                    </wp:positionH>
                    <wp:positionV relativeFrom="paragraph">
                      <wp:posOffset>-23495</wp:posOffset>
                    </wp:positionV>
                    <wp:extent cx="742950" cy="523875"/>
                    <wp:effectExtent l="0" t="0" r="0" b="952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23875"/>
                            </a:xfrm>
                            <a:prstGeom prst="rect">
                              <a:avLst/>
                            </a:prstGeom>
                            <a:noFill/>
                            <a:ln>
                              <a:noFill/>
                            </a:ln>
                          </wps:spPr>
                          <wps:txbx>
                            <w:txbxContent>
                              <w:p w14:paraId="38EEF5D5" w14:textId="77777777" w:rsidR="004C2316" w:rsidRPr="008C5813" w:rsidRDefault="00FB3BD4" w:rsidP="008C5813">
                                <w:pPr>
                                  <w:jc w:val="center"/>
                                  <w:rPr>
                                    <w:rFonts w:ascii="Calisto MT" w:hAnsi="Calisto MT" w:cs="FrankRuehl"/>
                                    <w:sz w:val="52"/>
                                    <w:szCs w:val="52"/>
                                    <w:lang w:val="en-US"/>
                                  </w:rPr>
                                </w:pPr>
                                <w:r w:rsidRPr="008C5813">
                                  <w:rPr>
                                    <w:rFonts w:ascii="Calisto MT" w:hAnsi="Calisto MT" w:cs="FrankRuehl"/>
                                    <w:sz w:val="52"/>
                                    <w:szCs w:val="52"/>
                                    <w:lang w:val="en-US"/>
                                  </w:rPr>
                                  <w:t>1</w:t>
                                </w:r>
                                <w:r w:rsidR="008C5813" w:rsidRPr="008C5813">
                                  <w:rPr>
                                    <w:rFonts w:ascii="Calisto MT" w:hAnsi="Calisto MT" w:cs="FrankRuehl"/>
                                    <w:sz w:val="52"/>
                                    <w:szCs w:val="52"/>
                                    <w:lang w:val="en-US"/>
                                  </w:rPr>
                                  <w:t>4</w:t>
                                </w:r>
                                <w:r w:rsidRPr="008C5813">
                                  <w:rPr>
                                    <w:rFonts w:ascii="Calisto MT" w:hAnsi="Calisto MT" w:cs="FrankRuehl"/>
                                    <w:sz w:val="52"/>
                                    <w:szCs w:val="52"/>
                                    <w:vertAlign w:val="superscript"/>
                                    <w:lang w:val="en-US"/>
                                  </w:rPr>
                                  <w:t>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C6F46" id="_x0000_t202" coordsize="21600,21600" o:spt="202" path="m,l,21600r21600,l21600,xe">
                    <v:stroke joinstyle="miter"/>
                    <v:path gradientshapeok="t" o:connecttype="rect"/>
                  </v:shapetype>
                  <v:shape id="Text Box 10" o:spid="_x0000_s1026" type="#_x0000_t202" style="position:absolute;margin-left:39.45pt;margin-top:-1.85pt;width:58.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" filled="f" stroked="f">
                    <v:textbox>
                      <w:txbxContent>
                        <w:p w14:paraId="38EEF5D5" w14:textId="77777777" w:rsidR="004C2316" w:rsidRPr="008C5813" w:rsidRDefault="00FB3BD4" w:rsidP="008C5813">
                          <w:pPr>
                            <w:jc w:val="center"/>
                            <w:rPr>
                              <w:rFonts w:ascii="Calisto MT" w:hAnsi="Calisto MT" w:cs="FrankRuehl"/>
                              <w:sz w:val="52"/>
                              <w:szCs w:val="52"/>
                              <w:lang w:val="en-US"/>
                            </w:rPr>
                          </w:pPr>
                          <w:r w:rsidRPr="008C5813">
                            <w:rPr>
                              <w:rFonts w:ascii="Calisto MT" w:hAnsi="Calisto MT" w:cs="FrankRuehl"/>
                              <w:sz w:val="52"/>
                              <w:szCs w:val="52"/>
                              <w:lang w:val="en-US"/>
                            </w:rPr>
                            <w:t>1</w:t>
                          </w:r>
                          <w:r w:rsidR="008C5813" w:rsidRPr="008C5813">
                            <w:rPr>
                              <w:rFonts w:ascii="Calisto MT" w:hAnsi="Calisto MT" w:cs="FrankRuehl"/>
                              <w:sz w:val="52"/>
                              <w:szCs w:val="52"/>
                              <w:lang w:val="en-US"/>
                            </w:rPr>
                            <w:t>4</w:t>
                          </w:r>
                          <w:r w:rsidRPr="008C5813">
                            <w:rPr>
                              <w:rFonts w:ascii="Calisto MT" w:hAnsi="Calisto MT" w:cs="FrankRuehl"/>
                              <w:sz w:val="52"/>
                              <w:szCs w:val="52"/>
                              <w:vertAlign w:val="superscript"/>
                              <w:lang w:val="en-US"/>
                            </w:rPr>
                            <w:t>th</w:t>
                          </w:r>
                        </w:p>
                      </w:txbxContent>
                    </v:textbox>
                  </v:shape>
                </w:pict>
              </mc:Fallback>
            </mc:AlternateContent>
          </w:r>
        </w:p>
      </w:tc>
      <w:tc>
        <w:tcPr>
          <w:tcW w:w="6379" w:type="dxa"/>
        </w:tcPr>
        <w:p w14:paraId="4AE4F58B" w14:textId="77777777" w:rsidR="004C2316" w:rsidRPr="00EB154D" w:rsidRDefault="00FB3BD4" w:rsidP="0006361B">
          <w:pPr>
            <w:spacing w:before="100" w:beforeAutospacing="1"/>
            <w:ind w:left="90" w:hanging="90"/>
            <w:jc w:val="center"/>
            <w:rPr>
              <w:rFonts w:ascii="Georgia" w:hAnsi="Georgia" w:cs="Arial"/>
              <w:noProof/>
              <w:lang w:val="en-US" w:eastAsia="zh-CN"/>
            </w:rPr>
          </w:pPr>
          <w:r w:rsidRPr="00EB154D">
            <w:rPr>
              <w:rFonts w:ascii="Georgia" w:hAnsi="Georgia"/>
              <w:sz w:val="18"/>
            </w:rPr>
            <w:t xml:space="preserve">           </w:t>
          </w:r>
          <w:r w:rsidRPr="00EB154D">
            <w:rPr>
              <w:rFonts w:ascii="Georgia" w:hAnsi="Georgia" w:cs="Arial"/>
              <w:sz w:val="18"/>
            </w:rPr>
            <w:t xml:space="preserve">Available online at </w:t>
          </w:r>
          <w:hyperlink r:id="rId3" w:history="1">
            <w:r w:rsidR="008C5813" w:rsidRPr="00E7664F">
              <w:rPr>
                <w:rStyle w:val="Hyperlink"/>
                <w:rFonts w:ascii="Georgia" w:hAnsi="Georgia" w:cs="Arial"/>
                <w:sz w:val="18"/>
              </w:rPr>
              <w:t>www.iiec2018.com</w:t>
            </w:r>
          </w:hyperlink>
        </w:p>
        <w:p w14:paraId="4CACADB0" w14:textId="77777777" w:rsidR="004C2316" w:rsidRPr="008C5813" w:rsidRDefault="00E46DB3" w:rsidP="0006361B">
          <w:pPr>
            <w:pStyle w:val="Els-Title"/>
          </w:pPr>
          <w:r>
            <w:rPr>
              <w:noProof/>
              <w:lang w:bidi="fa-IR"/>
            </w:rPr>
            <w:drawing>
              <wp:anchor distT="0" distB="0" distL="114300" distR="114300" simplePos="0" relativeHeight="251657216" behindDoc="1" locked="0" layoutInCell="1" allowOverlap="1" wp14:anchorId="475841D1" wp14:editId="1A7C4AB4">
                <wp:simplePos x="0" y="0"/>
                <wp:positionH relativeFrom="column">
                  <wp:posOffset>3964305</wp:posOffset>
                </wp:positionH>
                <wp:positionV relativeFrom="paragraph">
                  <wp:posOffset>74930</wp:posOffset>
                </wp:positionV>
                <wp:extent cx="1076325" cy="742950"/>
                <wp:effectExtent l="0" t="0" r="0"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t="19318" b="32954"/>
                        <a:stretch>
                          <a:fillRect/>
                        </a:stretch>
                      </pic:blipFill>
                      <pic:spPr bwMode="auto">
                        <a:xfrm>
                          <a:off x="0" y="0"/>
                          <a:ext cx="10763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BD4" w:rsidRPr="008C5813">
            <w:t xml:space="preserve">International Industrial Engineering </w:t>
          </w:r>
          <w:r w:rsidR="008C5813" w:rsidRPr="008C5813">
            <w:t>Conference</w:t>
          </w:r>
        </w:p>
        <w:p w14:paraId="179021C4" w14:textId="77777777" w:rsidR="004C2316" w:rsidRPr="00EB154D" w:rsidRDefault="008C5813" w:rsidP="0006361B">
          <w:pPr>
            <w:pStyle w:val="Els-Title"/>
          </w:pPr>
          <w:r>
            <w:t>(I</w:t>
          </w:r>
          <w:r w:rsidR="00FB3BD4">
            <w:t>IE</w:t>
          </w:r>
          <w:r>
            <w:t>C</w:t>
          </w:r>
          <w:r w:rsidR="00FB3BD4" w:rsidRPr="00EB154D">
            <w:t xml:space="preserve"> 201</w:t>
          </w:r>
          <w:r>
            <w:t>8</w:t>
          </w:r>
          <w:r w:rsidR="00FB3BD4" w:rsidRPr="00EB154D">
            <w:t>)</w:t>
          </w:r>
        </w:p>
        <w:p w14:paraId="0F6C141A" w14:textId="77777777" w:rsidR="004C2316" w:rsidRPr="00BF7682" w:rsidRDefault="00FB3BD4" w:rsidP="004C2316">
          <w:pPr>
            <w:tabs>
              <w:tab w:val="left" w:pos="6390"/>
            </w:tabs>
            <w:ind w:left="90" w:hanging="90"/>
            <w:jc w:val="center"/>
            <w:rPr>
              <w:rFonts w:ascii="Georgia" w:hAnsi="Georgia"/>
              <w:i/>
              <w:iCs/>
              <w:sz w:val="12"/>
            </w:rPr>
          </w:pPr>
          <w:r w:rsidRPr="00EB154D">
            <w:rPr>
              <w:rFonts w:ascii="Georgia" w:hAnsi="Georgia"/>
              <w:i/>
              <w:iCs/>
              <w:sz w:val="12"/>
            </w:rPr>
            <w:t xml:space="preserve">            </w:t>
          </w:r>
        </w:p>
      </w:tc>
      <w:tc>
        <w:tcPr>
          <w:tcW w:w="1550" w:type="dxa"/>
          <w:vMerge w:val="restart"/>
          <w:vAlign w:val="center"/>
        </w:tcPr>
        <w:p w14:paraId="404BF041" w14:textId="77777777" w:rsidR="004C2316" w:rsidRPr="00EB154D" w:rsidRDefault="004C2316" w:rsidP="004C2316">
          <w:pPr>
            <w:ind w:left="-180" w:firstLine="180"/>
            <w:jc w:val="right"/>
            <w:rPr>
              <w:rFonts w:ascii="Georgia" w:hAnsi="Georgia"/>
            </w:rPr>
          </w:pPr>
        </w:p>
      </w:tc>
    </w:tr>
    <w:tr w:rsidR="004C2316" w:rsidRPr="00EB154D" w14:paraId="254C395A" w14:textId="77777777" w:rsidTr="008C5813">
      <w:trPr>
        <w:cantSplit/>
        <w:trHeight w:val="232"/>
      </w:trPr>
      <w:tc>
        <w:tcPr>
          <w:tcW w:w="1701" w:type="dxa"/>
          <w:vMerge/>
        </w:tcPr>
        <w:p w14:paraId="6689F5F6" w14:textId="77777777" w:rsidR="004C2316" w:rsidRPr="00EB154D" w:rsidRDefault="004C2316" w:rsidP="004C2316">
          <w:pPr>
            <w:rPr>
              <w:rFonts w:ascii="Georgia" w:hAnsi="Georgia"/>
            </w:rPr>
          </w:pPr>
        </w:p>
      </w:tc>
      <w:tc>
        <w:tcPr>
          <w:tcW w:w="6379" w:type="dxa"/>
          <w:vAlign w:val="bottom"/>
        </w:tcPr>
        <w:p w14:paraId="55ADC086" w14:textId="77777777" w:rsidR="004C2316" w:rsidRPr="00E82CB9" w:rsidRDefault="004C2316" w:rsidP="004C2316">
          <w:pPr>
            <w:pStyle w:val="Header"/>
            <w:tabs>
              <w:tab w:val="left" w:pos="7680"/>
            </w:tabs>
            <w:spacing w:after="120"/>
            <w:jc w:val="center"/>
            <w:rPr>
              <w:rFonts w:ascii="Georgia" w:hAnsi="Georgia"/>
              <w:i w:val="0"/>
              <w:iCs/>
            </w:rPr>
          </w:pPr>
        </w:p>
      </w:tc>
      <w:tc>
        <w:tcPr>
          <w:tcW w:w="1550" w:type="dxa"/>
          <w:vMerge/>
        </w:tcPr>
        <w:p w14:paraId="05BFAC93" w14:textId="77777777" w:rsidR="004C2316" w:rsidRPr="00EB154D" w:rsidRDefault="004C2316" w:rsidP="004C2316">
          <w:pPr>
            <w:rPr>
              <w:rFonts w:ascii="Georgia" w:hAnsi="Georgia"/>
            </w:rPr>
          </w:pPr>
        </w:p>
      </w:tc>
    </w:tr>
  </w:tbl>
  <w:p w14:paraId="78410324" w14:textId="77777777" w:rsidR="004C2316" w:rsidRPr="0010318B" w:rsidRDefault="00FB3BD4" w:rsidP="0006361B">
    <w:pPr>
      <w:pStyle w:val="Header"/>
      <w:tabs>
        <w:tab w:val="left" w:pos="7680"/>
      </w:tabs>
      <w:jc w:val="center"/>
      <w:rPr>
        <w:rFonts w:ascii="Georgia" w:hAnsi="Georgia"/>
      </w:rPr>
    </w:pPr>
    <w:r w:rsidRPr="00EB154D">
      <w:rPr>
        <w:rFonts w:ascii="Georgia" w:hAnsi="Georgia"/>
        <w:sz w:val="18"/>
      </w:rPr>
      <w:t>I</w:t>
    </w:r>
    <w:r w:rsidR="008C5813">
      <w:rPr>
        <w:rFonts w:ascii="Georgia" w:hAnsi="Georgia"/>
        <w:sz w:val="18"/>
      </w:rPr>
      <w:t>IE</w:t>
    </w:r>
    <w:r w:rsidRPr="00EB154D">
      <w:rPr>
        <w:rFonts w:ascii="Georgia" w:hAnsi="Georgia"/>
        <w:sz w:val="18"/>
      </w:rPr>
      <w:t>C (201</w:t>
    </w:r>
    <w:r w:rsidR="008C5813">
      <w:rPr>
        <w:rFonts w:ascii="Georgia" w:hAnsi="Georgia"/>
        <w:sz w:val="18"/>
      </w:rPr>
      <w:t>8</w:t>
    </w:r>
    <w:r w:rsidRPr="00EB154D">
      <w:rPr>
        <w:rFonts w:ascii="Georgia" w:hAnsi="Georgia"/>
        <w:sz w:val="18"/>
      </w:rPr>
      <w:t>) 000–000</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452DE" w14:textId="77777777" w:rsidR="004C2316" w:rsidRDefault="00E46DB3" w:rsidP="004C2316">
    <w:pPr>
      <w:widowControl/>
      <w:autoSpaceDE w:val="0"/>
      <w:autoSpaceDN w:val="0"/>
      <w:adjustRightInd w:val="0"/>
      <w:rPr>
        <w:i/>
        <w:iCs/>
      </w:rPr>
    </w:pPr>
    <w:r>
      <w:rPr>
        <w:noProof/>
        <w:lang w:val="en-US" w:bidi="fa-IR"/>
      </w:rPr>
      <mc:AlternateContent>
        <mc:Choice Requires="wps">
          <w:drawing>
            <wp:anchor distT="0" distB="0" distL="114300" distR="114300" simplePos="0" relativeHeight="251655680" behindDoc="1" locked="0" layoutInCell="1" allowOverlap="1" wp14:anchorId="317014F1" wp14:editId="2D4AA0A0">
              <wp:simplePos x="0" y="0"/>
              <wp:positionH relativeFrom="column">
                <wp:posOffset>-822960</wp:posOffset>
              </wp:positionH>
              <wp:positionV relativeFrom="paragraph">
                <wp:posOffset>-578485</wp:posOffset>
              </wp:positionV>
              <wp:extent cx="7629525" cy="982980"/>
              <wp:effectExtent l="0" t="0" r="9525" b="762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982980"/>
                      </a:xfrm>
                      <a:prstGeom prst="rect">
                        <a:avLst/>
                      </a:prstGeom>
                      <a:gradFill rotWithShape="1">
                        <a:gsLst>
                          <a:gs pos="0">
                            <a:srgbClr val="FFD85B"/>
                          </a:gs>
                          <a:gs pos="100000">
                            <a:srgbClr val="FFFFFF">
                              <a:alpha val="70000"/>
                            </a:srgbClr>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02C83" id="Rectangle 17" o:spid="_x0000_s1026" style="position:absolute;left:0;text-align:left;margin-left:-64.8pt;margin-top:-45.55pt;width:600.75pt;height:77.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" fillcolor="#ffd85b" stroked="f">
              <v:fill o:opacity2="45875f" rotate="t" focus="100%" type="gradient"/>
            </v:rect>
          </w:pict>
        </mc:Fallback>
      </mc:AlternateContent>
    </w:r>
    <w:r w:rsidR="00FB3BD4">
      <w:tab/>
      <w:t xml:space="preserve">                                              </w:t>
    </w:r>
    <w:r w:rsidR="00656F00">
      <w:rPr>
        <w:i/>
        <w:iCs/>
      </w:rPr>
      <w:fldChar w:fldCharType="begin"/>
    </w:r>
    <w:r w:rsidR="00FB3BD4">
      <w:rPr>
        <w:i/>
        <w:iCs/>
      </w:rPr>
      <w:instrText xml:space="preserve"> MACROBUTTON NoMacro Author name </w:instrText>
    </w:r>
    <w:r w:rsidR="00656F00">
      <w:rPr>
        <w:i/>
        <w:iCs/>
      </w:rPr>
      <w:fldChar w:fldCharType="end"/>
    </w:r>
    <w:r w:rsidR="00FB3BD4">
      <w:rPr>
        <w:i/>
        <w:iCs/>
      </w:rPr>
      <w:t>/ ICIE 00 (</w:t>
    </w:r>
    <w:r w:rsidR="00FB3BD4">
      <w:rPr>
        <w:rFonts w:hint="eastAsia"/>
        <w:i/>
        <w:iCs/>
      </w:rPr>
      <w:t>201</w:t>
    </w:r>
    <w:r w:rsidR="00FB3BD4">
      <w:rPr>
        <w:i/>
        <w:iCs/>
      </w:rPr>
      <w:t>6) 000–000</w:t>
    </w:r>
  </w:p>
  <w:p w14:paraId="5E4C03C3" w14:textId="77777777" w:rsidR="004C2316" w:rsidRDefault="004C2316">
    <w:pPr>
      <w:widowControl/>
      <w:autoSpaceDE w:val="0"/>
      <w:autoSpaceDN w:val="0"/>
      <w:adjustRightInd w:val="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6D018" w14:textId="77777777" w:rsidR="004C2316" w:rsidRDefault="004C231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205803"/>
    <w:multiLevelType w:val="multilevel"/>
    <w:tmpl w:val="1E2855A8"/>
    <w:lvl w:ilvl="0">
      <w:start w:val="1"/>
      <w:numFmt w:val="decimal"/>
      <w:pStyle w:val="Els-1storder-head"/>
      <w:suff w:val="space"/>
      <w:lvlText w:val="%1."/>
      <w:lvlJc w:val="left"/>
      <w:pPr>
        <w:ind w:left="18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zAxMbUwMANSZgbmJko6SsGpxcWZ+XkgBUa1ACUTKxMsAAAA"/>
  </w:docVars>
  <w:rsids>
    <w:rsidRoot w:val="00FB3BD4"/>
    <w:rsid w:val="00031329"/>
    <w:rsid w:val="00031D86"/>
    <w:rsid w:val="00033763"/>
    <w:rsid w:val="0005026A"/>
    <w:rsid w:val="0006361B"/>
    <w:rsid w:val="00090D55"/>
    <w:rsid w:val="000B07A3"/>
    <w:rsid w:val="000B39B0"/>
    <w:rsid w:val="000C6B21"/>
    <w:rsid w:val="000E4940"/>
    <w:rsid w:val="0011377E"/>
    <w:rsid w:val="00151CDB"/>
    <w:rsid w:val="0017556D"/>
    <w:rsid w:val="00182FF8"/>
    <w:rsid w:val="001863E2"/>
    <w:rsid w:val="001B3CC0"/>
    <w:rsid w:val="00216BB1"/>
    <w:rsid w:val="00225761"/>
    <w:rsid w:val="00267E9C"/>
    <w:rsid w:val="00287991"/>
    <w:rsid w:val="002B2B16"/>
    <w:rsid w:val="002C684D"/>
    <w:rsid w:val="002E0C53"/>
    <w:rsid w:val="002E256D"/>
    <w:rsid w:val="0031664A"/>
    <w:rsid w:val="00320815"/>
    <w:rsid w:val="003B204B"/>
    <w:rsid w:val="003E66D4"/>
    <w:rsid w:val="00405FA3"/>
    <w:rsid w:val="00427515"/>
    <w:rsid w:val="00484C1B"/>
    <w:rsid w:val="0048591A"/>
    <w:rsid w:val="004C2316"/>
    <w:rsid w:val="004D1158"/>
    <w:rsid w:val="00503593"/>
    <w:rsid w:val="00541749"/>
    <w:rsid w:val="00552F99"/>
    <w:rsid w:val="00584D38"/>
    <w:rsid w:val="0059784B"/>
    <w:rsid w:val="005D1970"/>
    <w:rsid w:val="005F2DC5"/>
    <w:rsid w:val="00625D43"/>
    <w:rsid w:val="00656F00"/>
    <w:rsid w:val="006673BE"/>
    <w:rsid w:val="00674613"/>
    <w:rsid w:val="00676194"/>
    <w:rsid w:val="00690E74"/>
    <w:rsid w:val="006C2F8E"/>
    <w:rsid w:val="006E0632"/>
    <w:rsid w:val="006F0BB1"/>
    <w:rsid w:val="00714B56"/>
    <w:rsid w:val="007C046F"/>
    <w:rsid w:val="007E2F0F"/>
    <w:rsid w:val="007E678B"/>
    <w:rsid w:val="008016D3"/>
    <w:rsid w:val="00801BC9"/>
    <w:rsid w:val="008058DC"/>
    <w:rsid w:val="00813DCC"/>
    <w:rsid w:val="00820D66"/>
    <w:rsid w:val="00885142"/>
    <w:rsid w:val="008B5CD2"/>
    <w:rsid w:val="008C5813"/>
    <w:rsid w:val="00937E4A"/>
    <w:rsid w:val="00983BD2"/>
    <w:rsid w:val="00996E84"/>
    <w:rsid w:val="009C0144"/>
    <w:rsid w:val="009C75D1"/>
    <w:rsid w:val="009D0E03"/>
    <w:rsid w:val="00A025F4"/>
    <w:rsid w:val="00A4723E"/>
    <w:rsid w:val="00A54AEE"/>
    <w:rsid w:val="00A6255D"/>
    <w:rsid w:val="00B532B6"/>
    <w:rsid w:val="00BB168A"/>
    <w:rsid w:val="00BB4270"/>
    <w:rsid w:val="00BC76EF"/>
    <w:rsid w:val="00C64E4D"/>
    <w:rsid w:val="00C6542C"/>
    <w:rsid w:val="00CB0A34"/>
    <w:rsid w:val="00CC590C"/>
    <w:rsid w:val="00CF77E0"/>
    <w:rsid w:val="00D17518"/>
    <w:rsid w:val="00D40FB7"/>
    <w:rsid w:val="00D4738E"/>
    <w:rsid w:val="00DB131A"/>
    <w:rsid w:val="00DC0F63"/>
    <w:rsid w:val="00DC29BE"/>
    <w:rsid w:val="00DC32BC"/>
    <w:rsid w:val="00DD20E4"/>
    <w:rsid w:val="00DE6978"/>
    <w:rsid w:val="00E104F6"/>
    <w:rsid w:val="00E1688A"/>
    <w:rsid w:val="00E46DB3"/>
    <w:rsid w:val="00E62D39"/>
    <w:rsid w:val="00E80C01"/>
    <w:rsid w:val="00E84C49"/>
    <w:rsid w:val="00EF689B"/>
    <w:rsid w:val="00F90EB0"/>
    <w:rsid w:val="00FB3BD4"/>
    <w:rsid w:val="00FC1152"/>
    <w:rsid w:val="00FC6B5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3F646"/>
  <w15:docId w15:val="{53AF47CB-E8A9-4522-9E17-68F17DB2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BD4"/>
    <w:pPr>
      <w:widowControl w:val="0"/>
    </w:pPr>
    <w:rPr>
      <w:rFonts w:ascii="Times New Roman" w:eastAsia="SimSun" w:hAnsi="Times New Roman" w:cs="Times New Roman"/>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rsid w:val="00FB3BD4"/>
    <w:pPr>
      <w:keepNext/>
      <w:numPr>
        <w:numId w:val="1"/>
      </w:numPr>
      <w:suppressAutoHyphens/>
      <w:spacing w:before="240" w:after="240" w:line="240" w:lineRule="exact"/>
    </w:pPr>
    <w:rPr>
      <w:rFonts w:ascii="Times New Roman" w:eastAsia="SimSun" w:hAnsi="Times New Roman" w:cs="Times New Roman"/>
      <w:b/>
      <w:lang w:bidi="ar-SA"/>
    </w:rPr>
  </w:style>
  <w:style w:type="paragraph" w:customStyle="1" w:styleId="Els-2ndorder-head">
    <w:name w:val="Els-2ndorder-head"/>
    <w:next w:val="Els-body-text"/>
    <w:rsid w:val="00FB3BD4"/>
    <w:pPr>
      <w:keepNext/>
      <w:numPr>
        <w:ilvl w:val="1"/>
        <w:numId w:val="1"/>
      </w:numPr>
      <w:suppressAutoHyphens/>
      <w:spacing w:before="240" w:after="240" w:line="240" w:lineRule="exact"/>
    </w:pPr>
    <w:rPr>
      <w:rFonts w:ascii="Times New Roman" w:eastAsia="SimSun" w:hAnsi="Times New Roman" w:cs="Times New Roman"/>
      <w:i/>
      <w:lang w:bidi="ar-SA"/>
    </w:rPr>
  </w:style>
  <w:style w:type="paragraph" w:customStyle="1" w:styleId="Els-3rdorder-head">
    <w:name w:val="Els-3rdorder-head"/>
    <w:next w:val="Els-body-text"/>
    <w:rsid w:val="00FB3BD4"/>
    <w:pPr>
      <w:keepNext/>
      <w:numPr>
        <w:ilvl w:val="2"/>
        <w:numId w:val="1"/>
      </w:numPr>
      <w:suppressAutoHyphens/>
      <w:spacing w:before="240" w:line="240" w:lineRule="exact"/>
    </w:pPr>
    <w:rPr>
      <w:rFonts w:ascii="Times New Roman" w:eastAsia="SimSun" w:hAnsi="Times New Roman" w:cs="Times New Roman"/>
      <w:i/>
      <w:lang w:bidi="ar-SA"/>
    </w:rPr>
  </w:style>
  <w:style w:type="paragraph" w:customStyle="1" w:styleId="Els-4thorder-head">
    <w:name w:val="Els-4thorder-head"/>
    <w:next w:val="Els-body-text"/>
    <w:rsid w:val="00FB3BD4"/>
    <w:pPr>
      <w:keepNext/>
      <w:numPr>
        <w:ilvl w:val="3"/>
        <w:numId w:val="1"/>
      </w:numPr>
      <w:suppressAutoHyphens/>
      <w:spacing w:before="240" w:line="240" w:lineRule="exact"/>
    </w:pPr>
    <w:rPr>
      <w:rFonts w:ascii="Times New Roman" w:eastAsia="SimSun" w:hAnsi="Times New Roman" w:cs="Times New Roman"/>
      <w:i/>
      <w:lang w:bidi="ar-SA"/>
    </w:rPr>
  </w:style>
  <w:style w:type="paragraph" w:customStyle="1" w:styleId="Els-Abstract-head">
    <w:name w:val="Els-Abstract-head"/>
    <w:next w:val="Normal"/>
    <w:rsid w:val="00FB3BD4"/>
    <w:pPr>
      <w:keepNext/>
      <w:pBdr>
        <w:top w:val="single" w:sz="4" w:space="10" w:color="auto"/>
      </w:pBdr>
      <w:suppressAutoHyphens/>
      <w:spacing w:after="220" w:line="220" w:lineRule="exact"/>
    </w:pPr>
    <w:rPr>
      <w:rFonts w:ascii="Times New Roman" w:eastAsia="SimSun" w:hAnsi="Times New Roman" w:cs="Times New Roman"/>
      <w:b/>
      <w:sz w:val="18"/>
      <w:lang w:bidi="ar-SA"/>
    </w:rPr>
  </w:style>
  <w:style w:type="paragraph" w:customStyle="1" w:styleId="Els-Abstract-text">
    <w:name w:val="Els-Abstract-text"/>
    <w:next w:val="Normal"/>
    <w:rsid w:val="00FB3BD4"/>
    <w:pPr>
      <w:spacing w:line="220" w:lineRule="exact"/>
      <w:jc w:val="both"/>
    </w:pPr>
    <w:rPr>
      <w:rFonts w:ascii="Times New Roman" w:eastAsia="SimSun" w:hAnsi="Times New Roman" w:cs="Times New Roman"/>
      <w:sz w:val="18"/>
      <w:lang w:bidi="ar-SA"/>
    </w:rPr>
  </w:style>
  <w:style w:type="paragraph" w:customStyle="1" w:styleId="Els-Affiliation">
    <w:name w:val="Els-Affiliation"/>
    <w:next w:val="Els-Abstract-head"/>
    <w:rsid w:val="00FB3BD4"/>
    <w:pPr>
      <w:suppressAutoHyphens/>
      <w:spacing w:line="200" w:lineRule="exact"/>
      <w:jc w:val="center"/>
    </w:pPr>
    <w:rPr>
      <w:rFonts w:ascii="Times New Roman" w:eastAsia="SimSun" w:hAnsi="Times New Roman" w:cs="Times New Roman"/>
      <w:i/>
      <w:noProof/>
      <w:sz w:val="16"/>
      <w:lang w:bidi="ar-SA"/>
    </w:rPr>
  </w:style>
  <w:style w:type="paragraph" w:customStyle="1" w:styleId="Els-appendixhead">
    <w:name w:val="Els-appendixhead"/>
    <w:next w:val="Normal"/>
    <w:rsid w:val="00FB3BD4"/>
    <w:pPr>
      <w:numPr>
        <w:numId w:val="2"/>
      </w:numPr>
      <w:spacing w:before="480" w:after="240" w:line="220" w:lineRule="exact"/>
    </w:pPr>
    <w:rPr>
      <w:rFonts w:ascii="Times New Roman" w:eastAsia="SimSun" w:hAnsi="Times New Roman" w:cs="Times New Roman"/>
      <w:b/>
      <w:lang w:bidi="ar-SA"/>
    </w:rPr>
  </w:style>
  <w:style w:type="paragraph" w:customStyle="1" w:styleId="Els-appendixsubhead">
    <w:name w:val="Els-appendixsubhead"/>
    <w:next w:val="Normal"/>
    <w:rsid w:val="00FB3BD4"/>
    <w:pPr>
      <w:numPr>
        <w:ilvl w:val="1"/>
        <w:numId w:val="3"/>
      </w:numPr>
      <w:spacing w:before="240" w:after="240" w:line="220" w:lineRule="exact"/>
    </w:pPr>
    <w:rPr>
      <w:rFonts w:ascii="Times New Roman" w:eastAsia="SimSun" w:hAnsi="Times New Roman" w:cs="Times New Roman"/>
      <w:i/>
      <w:lang w:bidi="ar-SA"/>
    </w:rPr>
  </w:style>
  <w:style w:type="paragraph" w:customStyle="1" w:styleId="Els-Author">
    <w:name w:val="Els-Author"/>
    <w:next w:val="Normal"/>
    <w:rsid w:val="00FB3BD4"/>
    <w:pPr>
      <w:keepNext/>
      <w:suppressAutoHyphens/>
      <w:spacing w:after="160" w:line="300" w:lineRule="exact"/>
      <w:jc w:val="center"/>
    </w:pPr>
    <w:rPr>
      <w:rFonts w:ascii="Times New Roman" w:eastAsia="SimSun" w:hAnsi="Times New Roman" w:cs="Times New Roman"/>
      <w:noProof/>
      <w:sz w:val="26"/>
      <w:lang w:bidi="ar-SA"/>
    </w:rPr>
  </w:style>
  <w:style w:type="paragraph" w:customStyle="1" w:styleId="Els-body-text">
    <w:name w:val="Els-body-text"/>
    <w:rsid w:val="00FB3BD4"/>
    <w:pPr>
      <w:spacing w:line="240" w:lineRule="exact"/>
      <w:ind w:firstLine="238"/>
      <w:jc w:val="both"/>
    </w:pPr>
    <w:rPr>
      <w:rFonts w:ascii="Times New Roman" w:eastAsia="SimSun" w:hAnsi="Times New Roman" w:cs="Times New Roman"/>
      <w:lang w:bidi="ar-SA"/>
    </w:rPr>
  </w:style>
  <w:style w:type="paragraph" w:customStyle="1" w:styleId="Els-caption">
    <w:name w:val="Els-caption"/>
    <w:rsid w:val="00FB3BD4"/>
    <w:pPr>
      <w:keepLines/>
      <w:spacing w:before="200" w:after="240" w:line="200" w:lineRule="exact"/>
    </w:pPr>
    <w:rPr>
      <w:rFonts w:ascii="Times New Roman" w:eastAsia="SimSun" w:hAnsi="Times New Roman" w:cs="Times New Roman"/>
      <w:sz w:val="16"/>
      <w:lang w:bidi="ar-SA"/>
    </w:rPr>
  </w:style>
  <w:style w:type="paragraph" w:customStyle="1" w:styleId="Els-footnote">
    <w:name w:val="Els-footnote"/>
    <w:rsid w:val="00FB3BD4"/>
    <w:pPr>
      <w:keepLines/>
      <w:widowControl w:val="0"/>
      <w:spacing w:line="200" w:lineRule="exact"/>
      <w:ind w:firstLine="240"/>
      <w:jc w:val="both"/>
    </w:pPr>
    <w:rPr>
      <w:rFonts w:ascii="Times New Roman" w:eastAsia="SimSun" w:hAnsi="Times New Roman" w:cs="Times New Roman"/>
      <w:sz w:val="16"/>
      <w:lang w:bidi="ar-SA"/>
    </w:rPr>
  </w:style>
  <w:style w:type="paragraph" w:customStyle="1" w:styleId="Els-keywords">
    <w:name w:val="Els-keywords"/>
    <w:next w:val="Normal"/>
    <w:rsid w:val="00FB3BD4"/>
    <w:pPr>
      <w:pBdr>
        <w:bottom w:val="single" w:sz="4" w:space="10" w:color="auto"/>
      </w:pBdr>
      <w:spacing w:after="200" w:line="200" w:lineRule="exact"/>
    </w:pPr>
    <w:rPr>
      <w:rFonts w:ascii="Times New Roman" w:eastAsia="SimSun" w:hAnsi="Times New Roman" w:cs="Times New Roman"/>
      <w:noProof/>
      <w:sz w:val="16"/>
      <w:lang w:bidi="ar-SA"/>
    </w:rPr>
  </w:style>
  <w:style w:type="paragraph" w:customStyle="1" w:styleId="Els-reference-head">
    <w:name w:val="Els-reference-head"/>
    <w:next w:val="Normal"/>
    <w:rsid w:val="00FB3BD4"/>
    <w:pPr>
      <w:keepNext/>
      <w:spacing w:before="480" w:after="200" w:line="220" w:lineRule="exact"/>
    </w:pPr>
    <w:rPr>
      <w:rFonts w:ascii="Times New Roman" w:eastAsia="SimSun" w:hAnsi="Times New Roman" w:cs="Times New Roman"/>
      <w:b/>
      <w:lang w:bidi="ar-SA"/>
    </w:rPr>
  </w:style>
  <w:style w:type="paragraph" w:customStyle="1" w:styleId="Els-reprint-line">
    <w:name w:val="Els-reprint-line"/>
    <w:basedOn w:val="Normal"/>
    <w:rsid w:val="00FB3BD4"/>
    <w:pPr>
      <w:tabs>
        <w:tab w:val="left" w:pos="0"/>
        <w:tab w:val="center" w:pos="5443"/>
      </w:tabs>
      <w:jc w:val="center"/>
    </w:pPr>
    <w:rPr>
      <w:sz w:val="16"/>
    </w:rPr>
  </w:style>
  <w:style w:type="paragraph" w:customStyle="1" w:styleId="Els-table-text">
    <w:name w:val="Els-table-text"/>
    <w:rsid w:val="00FB3BD4"/>
    <w:pPr>
      <w:spacing w:after="80" w:line="200" w:lineRule="exact"/>
    </w:pPr>
    <w:rPr>
      <w:rFonts w:ascii="Times New Roman" w:eastAsia="SimSun" w:hAnsi="Times New Roman" w:cs="Times New Roman"/>
      <w:sz w:val="16"/>
      <w:lang w:bidi="ar-SA"/>
    </w:rPr>
  </w:style>
  <w:style w:type="paragraph" w:customStyle="1" w:styleId="Els-Title">
    <w:name w:val="Els-Title"/>
    <w:next w:val="Els-Author"/>
    <w:autoRedefine/>
    <w:rsid w:val="0006361B"/>
    <w:pPr>
      <w:widowControl w:val="0"/>
      <w:suppressAutoHyphens/>
      <w:spacing w:line="400" w:lineRule="exact"/>
      <w:ind w:left="90" w:hanging="90"/>
      <w:jc w:val="center"/>
    </w:pPr>
    <w:rPr>
      <w:rFonts w:ascii="Times New Roman" w:eastAsia="SimSun" w:hAnsi="Times New Roman" w:cs="Times New Roman"/>
      <w:sz w:val="32"/>
      <w:szCs w:val="18"/>
      <w:lang w:bidi="ar-SA"/>
    </w:rPr>
  </w:style>
  <w:style w:type="paragraph" w:styleId="Header">
    <w:name w:val="header"/>
    <w:link w:val="HeaderChar"/>
    <w:rsid w:val="00FB3BD4"/>
    <w:pPr>
      <w:tabs>
        <w:tab w:val="center" w:pos="4706"/>
        <w:tab w:val="right" w:pos="9356"/>
      </w:tabs>
      <w:spacing w:after="240" w:line="200" w:lineRule="atLeast"/>
    </w:pPr>
    <w:rPr>
      <w:rFonts w:ascii="Times New Roman" w:eastAsia="SimSun" w:hAnsi="Times New Roman" w:cs="Times New Roman"/>
      <w:i/>
      <w:noProof/>
      <w:sz w:val="16"/>
      <w:lang w:bidi="ar-SA"/>
    </w:rPr>
  </w:style>
  <w:style w:type="character" w:customStyle="1" w:styleId="HeaderChar">
    <w:name w:val="Header Char"/>
    <w:link w:val="Header"/>
    <w:rsid w:val="00FB3BD4"/>
    <w:rPr>
      <w:rFonts w:ascii="Times New Roman" w:eastAsia="SimSun" w:hAnsi="Times New Roman" w:cs="Times New Roman"/>
      <w:i/>
      <w:noProof/>
      <w:sz w:val="16"/>
      <w:szCs w:val="20"/>
    </w:rPr>
  </w:style>
  <w:style w:type="paragraph" w:styleId="FootnoteText">
    <w:name w:val="footnote text"/>
    <w:basedOn w:val="Normal"/>
    <w:link w:val="FootnoteTextChar"/>
    <w:semiHidden/>
    <w:rsid w:val="00FB3BD4"/>
    <w:rPr>
      <w:rFonts w:ascii="Univers" w:hAnsi="Univers"/>
    </w:rPr>
  </w:style>
  <w:style w:type="character" w:customStyle="1" w:styleId="FootnoteTextChar">
    <w:name w:val="Footnote Text Char"/>
    <w:link w:val="FootnoteText"/>
    <w:semiHidden/>
    <w:rsid w:val="00FB3BD4"/>
    <w:rPr>
      <w:rFonts w:ascii="Univers" w:eastAsia="SimSun" w:hAnsi="Univers" w:cs="Times New Roman"/>
      <w:sz w:val="20"/>
      <w:szCs w:val="20"/>
      <w:lang w:val="en-GB"/>
    </w:rPr>
  </w:style>
  <w:style w:type="character" w:styleId="Hyperlink">
    <w:name w:val="Hyperlink"/>
    <w:semiHidden/>
    <w:rsid w:val="00FB3BD4"/>
    <w:rPr>
      <w:color w:val="auto"/>
      <w:sz w:val="16"/>
      <w:u w:val="none"/>
    </w:rPr>
  </w:style>
  <w:style w:type="character" w:styleId="PageNumber">
    <w:name w:val="page number"/>
    <w:semiHidden/>
    <w:rsid w:val="00FB3BD4"/>
    <w:rPr>
      <w:sz w:val="16"/>
    </w:rPr>
  </w:style>
  <w:style w:type="paragraph" w:customStyle="1" w:styleId="ColorfulList-Accent11">
    <w:name w:val="Colorful List - Accent 11"/>
    <w:basedOn w:val="Normal"/>
    <w:qFormat/>
    <w:rsid w:val="00FB3BD4"/>
    <w:pPr>
      <w:widowControl/>
      <w:ind w:left="720"/>
    </w:pPr>
    <w:rPr>
      <w:rFonts w:ascii="Arial" w:eastAsia="Batang" w:hAnsi="Arial"/>
      <w:sz w:val="22"/>
      <w:szCs w:val="24"/>
      <w:lang w:val="en-US" w:eastAsia="ko-KR"/>
    </w:rPr>
  </w:style>
  <w:style w:type="table" w:styleId="TableGrid">
    <w:name w:val="Table Grid"/>
    <w:basedOn w:val="TableNormal"/>
    <w:uiPriority w:val="59"/>
    <w:rsid w:val="00FB3BD4"/>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B3BD4"/>
    <w:pPr>
      <w:tabs>
        <w:tab w:val="center" w:pos="4680"/>
        <w:tab w:val="right" w:pos="9360"/>
      </w:tabs>
    </w:pPr>
  </w:style>
  <w:style w:type="character" w:customStyle="1" w:styleId="FooterChar">
    <w:name w:val="Footer Char"/>
    <w:link w:val="Footer"/>
    <w:uiPriority w:val="99"/>
    <w:rsid w:val="00FB3BD4"/>
    <w:rPr>
      <w:rFonts w:ascii="Times New Roman" w:eastAsia="SimSun" w:hAnsi="Times New Roman" w:cs="Times New Roman"/>
      <w:sz w:val="20"/>
      <w:szCs w:val="20"/>
      <w:lang w:val="en-GB"/>
    </w:rPr>
  </w:style>
  <w:style w:type="paragraph" w:styleId="BalloonText">
    <w:name w:val="Balloon Text"/>
    <w:basedOn w:val="Normal"/>
    <w:link w:val="BalloonTextChar"/>
    <w:uiPriority w:val="99"/>
    <w:semiHidden/>
    <w:unhideWhenUsed/>
    <w:rsid w:val="008B5CD2"/>
    <w:rPr>
      <w:rFonts w:ascii="Tahoma" w:hAnsi="Tahoma" w:cs="Tahoma"/>
      <w:sz w:val="16"/>
      <w:szCs w:val="16"/>
    </w:rPr>
  </w:style>
  <w:style w:type="character" w:customStyle="1" w:styleId="BalloonTextChar">
    <w:name w:val="Balloon Text Char"/>
    <w:link w:val="BalloonText"/>
    <w:uiPriority w:val="99"/>
    <w:semiHidden/>
    <w:rsid w:val="008B5CD2"/>
    <w:rPr>
      <w:rFonts w:ascii="Tahoma" w:eastAsia="SimSun" w:hAnsi="Tahoma" w:cs="Tahoma"/>
      <w:sz w:val="16"/>
      <w:szCs w:val="16"/>
      <w:lang w:val="en-GB"/>
    </w:rPr>
  </w:style>
  <w:style w:type="paragraph" w:customStyle="1" w:styleId="Abstract">
    <w:name w:val="Abstract"/>
    <w:link w:val="AbstractChar"/>
    <w:rsid w:val="007E678B"/>
    <w:pPr>
      <w:spacing w:after="200"/>
      <w:jc w:val="both"/>
    </w:pPr>
    <w:rPr>
      <w:rFonts w:ascii="Times New Roman" w:eastAsia="SimSun" w:hAnsi="Times New Roman" w:cs="Times New Roman"/>
      <w:b/>
      <w:bCs/>
      <w:sz w:val="18"/>
      <w:szCs w:val="18"/>
      <w:lang w:bidi="ar-SA"/>
    </w:rPr>
  </w:style>
  <w:style w:type="paragraph" w:customStyle="1" w:styleId="Affiliation">
    <w:name w:val="Affiliation"/>
    <w:rsid w:val="007E678B"/>
    <w:pPr>
      <w:jc w:val="center"/>
    </w:pPr>
    <w:rPr>
      <w:rFonts w:ascii="Times New Roman" w:eastAsia="SimSun" w:hAnsi="Times New Roman" w:cs="Times New Roman"/>
      <w:lang w:bidi="ar-SA"/>
    </w:rPr>
  </w:style>
  <w:style w:type="paragraph" w:customStyle="1" w:styleId="Author">
    <w:name w:val="Author"/>
    <w:rsid w:val="007E678B"/>
    <w:pPr>
      <w:spacing w:before="360" w:after="40"/>
      <w:jc w:val="center"/>
    </w:pPr>
    <w:rPr>
      <w:rFonts w:ascii="Times New Roman" w:eastAsia="SimSun" w:hAnsi="Times New Roman" w:cs="Times New Roman"/>
      <w:noProof/>
      <w:sz w:val="22"/>
      <w:szCs w:val="22"/>
      <w:lang w:bidi="ar-SA"/>
    </w:rPr>
  </w:style>
  <w:style w:type="paragraph" w:customStyle="1" w:styleId="bulletlist">
    <w:name w:val="bullet list"/>
    <w:basedOn w:val="BodyText"/>
    <w:rsid w:val="007E678B"/>
    <w:pPr>
      <w:widowControl/>
      <w:numPr>
        <w:numId w:val="4"/>
      </w:numPr>
      <w:tabs>
        <w:tab w:val="clear" w:pos="648"/>
      </w:tabs>
      <w:spacing w:line="228" w:lineRule="auto"/>
      <w:ind w:left="0" w:firstLine="0"/>
      <w:jc w:val="both"/>
    </w:pPr>
    <w:rPr>
      <w:spacing w:val="-1"/>
      <w:lang w:val="en-US"/>
    </w:rPr>
  </w:style>
  <w:style w:type="paragraph" w:customStyle="1" w:styleId="footnote">
    <w:name w:val="footnote"/>
    <w:rsid w:val="007E678B"/>
    <w:pPr>
      <w:framePr w:hSpace="187" w:vSpace="187" w:wrap="notBeside" w:vAnchor="text" w:hAnchor="page" w:x="6121" w:y="577"/>
      <w:numPr>
        <w:numId w:val="5"/>
      </w:numPr>
      <w:spacing w:after="40"/>
    </w:pPr>
    <w:rPr>
      <w:rFonts w:ascii="Times New Roman" w:eastAsia="SimSun" w:hAnsi="Times New Roman" w:cs="Times New Roman"/>
      <w:sz w:val="16"/>
      <w:szCs w:val="16"/>
      <w:lang w:bidi="ar-SA"/>
    </w:rPr>
  </w:style>
  <w:style w:type="paragraph" w:customStyle="1" w:styleId="keywords">
    <w:name w:val="key words"/>
    <w:rsid w:val="007E678B"/>
    <w:pPr>
      <w:spacing w:after="120"/>
      <w:ind w:firstLine="288"/>
      <w:jc w:val="both"/>
    </w:pPr>
    <w:rPr>
      <w:rFonts w:ascii="Times New Roman" w:eastAsia="SimSun" w:hAnsi="Times New Roman" w:cs="Times New Roman"/>
      <w:b/>
      <w:bCs/>
      <w:i/>
      <w:iCs/>
      <w:noProof/>
      <w:sz w:val="18"/>
      <w:szCs w:val="18"/>
      <w:lang w:bidi="ar-SA"/>
    </w:rPr>
  </w:style>
  <w:style w:type="paragraph" w:customStyle="1" w:styleId="papersubtitle">
    <w:name w:val="paper subtitle"/>
    <w:rsid w:val="007E678B"/>
    <w:pPr>
      <w:spacing w:after="120"/>
      <w:jc w:val="center"/>
    </w:pPr>
    <w:rPr>
      <w:rFonts w:ascii="Times New Roman" w:eastAsia="MS Mincho" w:hAnsi="Times New Roman" w:cs="Times New Roman"/>
      <w:noProof/>
      <w:sz w:val="28"/>
      <w:szCs w:val="28"/>
      <w:lang w:bidi="ar-SA"/>
    </w:rPr>
  </w:style>
  <w:style w:type="paragraph" w:customStyle="1" w:styleId="papertitle">
    <w:name w:val="paper title"/>
    <w:rsid w:val="007E678B"/>
    <w:pPr>
      <w:spacing w:after="120"/>
      <w:jc w:val="center"/>
    </w:pPr>
    <w:rPr>
      <w:rFonts w:ascii="Times New Roman" w:eastAsia="MS Mincho" w:hAnsi="Times New Roman" w:cs="Times New Roman"/>
      <w:noProof/>
      <w:sz w:val="48"/>
      <w:szCs w:val="48"/>
      <w:lang w:bidi="ar-SA"/>
    </w:rPr>
  </w:style>
  <w:style w:type="paragraph" w:customStyle="1" w:styleId="StyleAbstractItalic">
    <w:name w:val="Style Abstract + Italic"/>
    <w:basedOn w:val="Abstract"/>
    <w:link w:val="StyleAbstractItalicChar"/>
    <w:rsid w:val="007E678B"/>
    <w:rPr>
      <w:rFonts w:eastAsia="MS Mincho"/>
      <w:i/>
      <w:iCs/>
    </w:rPr>
  </w:style>
  <w:style w:type="character" w:customStyle="1" w:styleId="AbstractChar">
    <w:name w:val="Abstract Char"/>
    <w:link w:val="Abstract"/>
    <w:locked/>
    <w:rsid w:val="007E678B"/>
    <w:rPr>
      <w:rFonts w:ascii="Times New Roman" w:eastAsia="SimSun" w:hAnsi="Times New Roman" w:cs="Times New Roman"/>
      <w:b/>
      <w:bCs/>
      <w:sz w:val="18"/>
      <w:szCs w:val="18"/>
    </w:rPr>
  </w:style>
  <w:style w:type="character" w:customStyle="1" w:styleId="StyleAbstractItalicChar">
    <w:name w:val="Style Abstract + Italic Char"/>
    <w:link w:val="StyleAbstractItalic"/>
    <w:locked/>
    <w:rsid w:val="007E678B"/>
    <w:rPr>
      <w:rFonts w:ascii="Times New Roman" w:eastAsia="MS Mincho" w:hAnsi="Times New Roman" w:cs="Times New Roman"/>
      <w:b/>
      <w:bCs/>
      <w:i/>
      <w:iCs/>
      <w:sz w:val="18"/>
      <w:szCs w:val="18"/>
    </w:rPr>
  </w:style>
  <w:style w:type="paragraph" w:styleId="BodyText">
    <w:name w:val="Body Text"/>
    <w:basedOn w:val="Normal"/>
    <w:link w:val="BodyTextChar"/>
    <w:uiPriority w:val="99"/>
    <w:semiHidden/>
    <w:unhideWhenUsed/>
    <w:rsid w:val="007E678B"/>
    <w:pPr>
      <w:spacing w:after="120"/>
    </w:pPr>
  </w:style>
  <w:style w:type="character" w:customStyle="1" w:styleId="BodyTextChar">
    <w:name w:val="Body Text Char"/>
    <w:link w:val="BodyText"/>
    <w:uiPriority w:val="99"/>
    <w:semiHidden/>
    <w:rsid w:val="007E678B"/>
    <w:rPr>
      <w:rFonts w:ascii="Times New Roman" w:eastAsia="SimSun" w:hAnsi="Times New Roman" w:cs="Times New Roman"/>
      <w:sz w:val="20"/>
      <w:szCs w:val="20"/>
      <w:lang w:val="en-GB"/>
    </w:rPr>
  </w:style>
  <w:style w:type="character" w:styleId="Emphasis">
    <w:name w:val="Emphasis"/>
    <w:basedOn w:val="DefaultParagraphFont"/>
    <w:uiPriority w:val="20"/>
    <w:qFormat/>
    <w:rsid w:val="00B532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www.iiec2018.com"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1839E-C3E0-487C-8A7F-23BE6435B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Pages>
  <Words>1400</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9362</CharactersWithSpaces>
  <SharedDoc>false</SharedDoc>
  <HLinks>
    <vt:vector size="12" baseType="variant">
      <vt:variant>
        <vt:i4>4849746</vt:i4>
      </vt:variant>
      <vt:variant>
        <vt:i4>10</vt:i4>
      </vt:variant>
      <vt:variant>
        <vt:i4>0</vt:i4>
      </vt:variant>
      <vt:variant>
        <vt:i4>5</vt:i4>
      </vt:variant>
      <vt:variant>
        <vt:lpwstr>http://www.iiec2016.com/</vt:lpwstr>
      </vt:variant>
      <vt:variant>
        <vt:lpwstr/>
      </vt:variant>
      <vt:variant>
        <vt:i4>4849756</vt:i4>
      </vt:variant>
      <vt:variant>
        <vt:i4>5</vt:i4>
      </vt:variant>
      <vt:variant>
        <vt:i4>0</vt:i4>
      </vt:variant>
      <vt:variant>
        <vt:i4>5</vt:i4>
      </vt:variant>
      <vt:variant>
        <vt:lpwstr>http://www.iiec2018.com/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newsfarda</dc:creator>
  <cp:lastModifiedBy>Mosleh</cp:lastModifiedBy>
  <cp:revision>38</cp:revision>
  <dcterms:created xsi:type="dcterms:W3CDTF">2021-10-11T17:20:00Z</dcterms:created>
  <dcterms:modified xsi:type="dcterms:W3CDTF">2021-12-09T15:36:00Z</dcterms:modified>
</cp:coreProperties>
</file>