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7C" w:rsidRDefault="00077B7C" w:rsidP="00077B7C">
      <w:pPr>
        <w:bidi/>
        <w:jc w:val="center"/>
        <w:rPr>
          <w:rFonts w:cs="B Nazanin"/>
          <w:sz w:val="18"/>
          <w:szCs w:val="18"/>
          <w:rtl/>
        </w:rPr>
      </w:pPr>
      <w:r w:rsidRPr="00B139EE">
        <w:rPr>
          <w:rFonts w:cs="B Nazanin" w:hint="cs"/>
          <w:color w:val="000000"/>
          <w:rtl/>
        </w:rPr>
        <w:t>طراحی سیستم جبران</w:t>
      </w:r>
      <w:r w:rsidRPr="00B139EE">
        <w:rPr>
          <w:rFonts w:cs="B Nazanin"/>
          <w:color w:val="000000"/>
          <w:rtl/>
        </w:rPr>
        <w:softHyphen/>
      </w:r>
      <w:r w:rsidRPr="00B139EE">
        <w:rPr>
          <w:rFonts w:cs="B Nazanin" w:hint="cs"/>
          <w:color w:val="000000"/>
          <w:rtl/>
        </w:rPr>
        <w:t>سازی توان راکتیو مجموعه ترانس</w:t>
      </w:r>
      <w:r w:rsidRPr="00B139EE">
        <w:rPr>
          <w:rFonts w:cs="B Nazanin"/>
          <w:color w:val="000000"/>
          <w:rtl/>
        </w:rPr>
        <w:softHyphen/>
      </w:r>
      <w:r w:rsidRPr="00B139EE">
        <w:rPr>
          <w:rFonts w:cs="B Nazanin" w:hint="cs"/>
          <w:color w:val="000000"/>
          <w:rtl/>
        </w:rPr>
        <w:t>های پالایشگاه مجتمع مس سرچشمه جهت بهبود راندمان انرژی مجموعه و پارامترهای فنی سیستم</w:t>
      </w:r>
    </w:p>
    <w:p w:rsidR="00077B7C" w:rsidRPr="00B139EE" w:rsidRDefault="00077B7C" w:rsidP="00077B7C">
      <w:pPr>
        <w:bidi/>
        <w:jc w:val="center"/>
        <w:rPr>
          <w:rFonts w:cs="B Nazanin"/>
          <w:sz w:val="18"/>
          <w:szCs w:val="18"/>
          <w:rtl/>
        </w:rPr>
      </w:pPr>
    </w:p>
    <w:p w:rsidR="00077B7C" w:rsidRPr="00C057CC" w:rsidRDefault="00077B7C" w:rsidP="00077B7C">
      <w:pPr>
        <w:bidi/>
        <w:jc w:val="center"/>
        <w:rPr>
          <w:rFonts w:eastAsia="Calibri"/>
        </w:rPr>
      </w:pPr>
      <w:r w:rsidRPr="00C057CC">
        <w:rPr>
          <w:rFonts w:cs="B Nazanin" w:hint="cs"/>
          <w:b/>
          <w:bCs/>
          <w:rtl/>
        </w:rPr>
        <w:t>مرتضی آیین</w:t>
      </w:r>
      <w:r w:rsidRPr="00C057CC">
        <w:rPr>
          <w:rFonts w:cs="B Nazanin"/>
          <w:b/>
          <w:bCs/>
          <w:vertAlign w:val="superscript"/>
          <w:lang w:val="en-GB" w:bidi="fa-IR"/>
        </w:rPr>
        <w:t>,</w:t>
      </w:r>
      <w:r w:rsidRPr="00C057CC">
        <w:rPr>
          <w:b/>
          <w:bCs/>
          <w:vertAlign w:val="superscript"/>
          <w:lang w:val="en-GB" w:bidi="fa-IR"/>
        </w:rPr>
        <w:footnoteReference w:id="2"/>
      </w:r>
      <w:r w:rsidRPr="00C057CC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C057CC">
        <w:rPr>
          <w:rFonts w:cs="B Nazanin" w:hint="cs"/>
          <w:b/>
          <w:bCs/>
          <w:rtl/>
        </w:rPr>
        <w:t>، احسان خسروی</w:t>
      </w:r>
      <w:r>
        <w:rPr>
          <w:rFonts w:cs="B Nazanin" w:hint="cs"/>
          <w:b/>
          <w:bCs/>
          <w:vertAlign w:val="superscript"/>
          <w:rtl/>
          <w:lang w:val="en-GB" w:bidi="fa-IR"/>
        </w:rPr>
        <w:t>2</w:t>
      </w:r>
      <w:r w:rsidRPr="00C057CC">
        <w:rPr>
          <w:rFonts w:cs="B Nazanin" w:hint="cs"/>
          <w:b/>
          <w:bCs/>
          <w:rtl/>
        </w:rPr>
        <w:t>،</w:t>
      </w:r>
      <w:r w:rsidRPr="00C057CC">
        <w:rPr>
          <w:rFonts w:cs="B Nazanin" w:hint="cs"/>
          <w:b/>
          <w:bCs/>
          <w:rtl/>
          <w:lang w:bidi="fa-IR"/>
        </w:rPr>
        <w:t xml:space="preserve"> مهدی جاودانی</w:t>
      </w:r>
      <w:r>
        <w:rPr>
          <w:rFonts w:cs="B Nazanin" w:hint="cs"/>
          <w:b/>
          <w:bCs/>
          <w:vertAlign w:val="superscript"/>
          <w:rtl/>
          <w:lang w:val="en-GB" w:bidi="fa-IR"/>
        </w:rPr>
        <w:t>3</w:t>
      </w:r>
    </w:p>
    <w:p w:rsidR="00077B7C" w:rsidRPr="00C057CC" w:rsidRDefault="00077B7C" w:rsidP="00077B7C">
      <w:pPr>
        <w:bidi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rtl/>
        </w:rPr>
        <w:t>1</w:t>
      </w:r>
      <w:r w:rsidRPr="00C057CC">
        <w:rPr>
          <w:rFonts w:cs="B Nazanin" w:hint="cs"/>
          <w:b/>
          <w:bCs/>
          <w:sz w:val="20"/>
          <w:szCs w:val="20"/>
          <w:rtl/>
        </w:rPr>
        <w:t>-دانشگاه ولی عص</w:t>
      </w:r>
      <w:bookmarkStart w:id="0" w:name="_GoBack"/>
      <w:bookmarkEnd w:id="0"/>
      <w:r w:rsidRPr="00C057CC">
        <w:rPr>
          <w:rFonts w:cs="B Nazanin" w:hint="cs"/>
          <w:b/>
          <w:bCs/>
          <w:sz w:val="20"/>
          <w:szCs w:val="20"/>
          <w:rtl/>
        </w:rPr>
        <w:t>ر (عج) رفسنجان</w:t>
      </w:r>
    </w:p>
    <w:p w:rsidR="00077B7C" w:rsidRPr="00C057CC" w:rsidRDefault="00077B7C" w:rsidP="00077B7C">
      <w:pPr>
        <w:bidi/>
        <w:jc w:val="center"/>
        <w:rPr>
          <w:rFonts w:cs="B Nazanin"/>
          <w:b/>
          <w:bCs/>
          <w:sz w:val="20"/>
          <w:szCs w:val="20"/>
        </w:rPr>
      </w:pPr>
      <w:r w:rsidRPr="00C057CC">
        <w:rPr>
          <w:rFonts w:cs="B Nazanin" w:hint="cs"/>
          <w:b/>
          <w:bCs/>
          <w:sz w:val="20"/>
          <w:szCs w:val="20"/>
          <w:rtl/>
        </w:rPr>
        <w:t>2-دانشگاه ولی عصر(عج)  رفسنجان</w:t>
      </w:r>
    </w:p>
    <w:p w:rsidR="00077B7C" w:rsidRPr="00C057CC" w:rsidRDefault="00077B7C" w:rsidP="00077B7C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C057CC">
        <w:rPr>
          <w:rFonts w:cs="B Nazanin" w:hint="cs"/>
          <w:b/>
          <w:bCs/>
          <w:sz w:val="20"/>
          <w:szCs w:val="20"/>
          <w:rtl/>
          <w:lang w:bidi="fa-IR"/>
        </w:rPr>
        <w:t>3-مجتمع مس سرچشمه</w:t>
      </w:r>
    </w:p>
    <w:p w:rsidR="00077B7C" w:rsidRPr="00C057CC" w:rsidRDefault="00077B7C" w:rsidP="00077B7C">
      <w:pPr>
        <w:bidi/>
        <w:jc w:val="center"/>
        <w:rPr>
          <w:rFonts w:cs="B Nazanin"/>
          <w:b/>
          <w:bCs/>
          <w:sz w:val="20"/>
          <w:szCs w:val="20"/>
          <w:rtl/>
        </w:rPr>
      </w:pPr>
    </w:p>
    <w:p w:rsidR="00077B7C" w:rsidRPr="00B139EE" w:rsidRDefault="00077B7C" w:rsidP="00077B7C">
      <w:pPr>
        <w:bidi/>
        <w:spacing w:after="160" w:line="259" w:lineRule="auto"/>
        <w:jc w:val="both"/>
        <w:rPr>
          <w:rFonts w:eastAsia="Calibri" w:cs="B Nazanin"/>
          <w:b/>
          <w:bCs/>
          <w:szCs w:val="28"/>
          <w:rtl/>
        </w:rPr>
      </w:pPr>
      <w:r w:rsidRPr="00B139EE">
        <w:rPr>
          <w:rFonts w:eastAsia="Calibri" w:cs="B Nazanin" w:hint="cs"/>
          <w:b/>
          <w:bCs/>
          <w:szCs w:val="28"/>
          <w:rtl/>
        </w:rPr>
        <w:t>چکیده</w:t>
      </w:r>
    </w:p>
    <w:p w:rsidR="00077B7C" w:rsidRPr="00B139EE" w:rsidRDefault="00077B7C" w:rsidP="00077B7C">
      <w:pPr>
        <w:bidi/>
        <w:spacing w:after="160" w:line="259" w:lineRule="auto"/>
        <w:jc w:val="both"/>
        <w:rPr>
          <w:rFonts w:ascii="BNazanin" w:eastAsia="Calibri" w:hAnsi="Calibri" w:cs="B Nazanin"/>
          <w:b/>
          <w:bCs/>
          <w:rtl/>
        </w:rPr>
      </w:pPr>
      <w:r w:rsidRPr="00B139EE">
        <w:rPr>
          <w:rFonts w:ascii="BNazanin" w:eastAsia="Calibri" w:cs="B Nazanin" w:hint="cs"/>
          <w:b/>
          <w:bCs/>
          <w:rtl/>
        </w:rPr>
        <w:t>امروزه در شبکه</w:t>
      </w:r>
      <w:r w:rsidRPr="00B139EE">
        <w:rPr>
          <w:rFonts w:ascii="BNazanin" w:eastAsia="Calibri" w:cs="B Nazanin"/>
          <w:b/>
          <w:bCs/>
        </w:rPr>
        <w:softHyphen/>
      </w:r>
      <w:r w:rsidRPr="00B139EE">
        <w:rPr>
          <w:rFonts w:ascii="BNazanin" w:eastAsia="Calibri" w:cs="B Nazanin" w:hint="cs"/>
          <w:b/>
          <w:bCs/>
          <w:rtl/>
        </w:rPr>
        <w:t>های توزیع انرژی الکتریکی، کیفیت توان تحویلی و همچنین ضریب توان بار از اهمیت بسزایی برخوردار است. به منظور بهبود ضریب توان مدار، عموماً از رگولاتورهای خازنی جبران</w:t>
      </w:r>
      <w:r w:rsidRPr="00B139EE">
        <w:rPr>
          <w:rFonts w:ascii="BNazanin" w:eastAsia="Calibri" w:cs="B Nazanin" w:hint="cs"/>
          <w:b/>
          <w:bCs/>
          <w:rtl/>
        </w:rPr>
        <w:softHyphen/>
        <w:t>ساز استفاده می</w:t>
      </w:r>
      <w:r w:rsidRPr="00B139EE">
        <w:rPr>
          <w:rFonts w:ascii="BNazanin" w:eastAsia="Calibri" w:cs="B Nazanin" w:hint="cs"/>
          <w:b/>
          <w:bCs/>
          <w:rtl/>
        </w:rPr>
        <w:softHyphen/>
        <w:t>شود. در پاره</w:t>
      </w:r>
      <w:r w:rsidRPr="00B139EE">
        <w:rPr>
          <w:rFonts w:ascii="BNazanin" w:eastAsia="Calibri" w:cs="B Nazanin" w:hint="cs"/>
          <w:b/>
          <w:bCs/>
          <w:rtl/>
        </w:rPr>
        <w:softHyphen/>
        <w:t>ای از مواقع خصوصاً در حضور هارمونیک</w:t>
      </w:r>
      <w:r w:rsidRPr="00B139EE">
        <w:rPr>
          <w:rFonts w:ascii="BNazanin" w:eastAsia="Calibri" w:cs="B Nazanin" w:hint="cs"/>
          <w:b/>
          <w:bCs/>
          <w:rtl/>
        </w:rPr>
        <w:softHyphen/>
        <w:t>ها، خازن</w:t>
      </w:r>
      <w:r w:rsidRPr="00B139EE">
        <w:rPr>
          <w:rFonts w:ascii="BNazanin" w:eastAsia="Calibri" w:cs="B Nazanin" w:hint="cs"/>
          <w:b/>
          <w:bCs/>
          <w:rtl/>
        </w:rPr>
        <w:softHyphen/>
        <w:t>های جبران</w:t>
      </w:r>
      <w:r w:rsidRPr="00B139EE">
        <w:rPr>
          <w:rFonts w:ascii="BNazanin" w:eastAsia="Calibri" w:cs="B Nazanin" w:hint="cs"/>
          <w:b/>
          <w:bCs/>
          <w:rtl/>
        </w:rPr>
        <w:softHyphen/>
        <w:t>ساز با بخشی از مدار تشدید ایجاد کرده و باعث بروز صدمات جبران ناپذیر و غیرقابل توجیهی به تجهیزات شبکه می</w:t>
      </w:r>
      <w:r w:rsidRPr="00B139EE">
        <w:rPr>
          <w:rFonts w:ascii="BNazanin" w:eastAsia="Calibri" w:cs="B Nazanin" w:hint="cs"/>
          <w:b/>
          <w:bCs/>
          <w:rtl/>
        </w:rPr>
        <w:softHyphen/>
        <w:t xml:space="preserve">شوند. در این مقاله، به بررسی و تعیین دلیل سوختن رله حالت جامد </w:t>
      </w:r>
      <w:r w:rsidRPr="00B139EE">
        <w:rPr>
          <w:rFonts w:eastAsia="Calibri"/>
          <w:b/>
          <w:bCs/>
        </w:rPr>
        <w:t>(SSR)</w:t>
      </w:r>
      <w:r w:rsidRPr="00B139EE">
        <w:rPr>
          <w:rFonts w:ascii="BNazanin" w:eastAsia="Calibri" w:cs="B Nazanin" w:hint="cs"/>
          <w:b/>
          <w:bCs/>
          <w:rtl/>
        </w:rPr>
        <w:t xml:space="preserve"> رگولاتورهای خازنی نصب شده در سالن ریخته</w:t>
      </w:r>
      <w:r w:rsidRPr="00B139EE">
        <w:rPr>
          <w:rFonts w:ascii="BNazanin" w:eastAsia="Calibri" w:cs="B Nazanin" w:hint="cs"/>
          <w:b/>
          <w:bCs/>
          <w:rtl/>
        </w:rPr>
        <w:softHyphen/>
        <w:t>گری پالایشگاه مجتمع مس سرچشمه و همچنین ارائه راهکار جهت رفع آن پرداخته شده است. بدین منظور، ابتدا عملیات سالن ریخته</w:t>
      </w:r>
      <w:r w:rsidRPr="00B139EE">
        <w:rPr>
          <w:rFonts w:ascii="BNazanin" w:eastAsia="Calibri" w:cs="B Nazanin" w:hint="cs"/>
          <w:b/>
          <w:bCs/>
          <w:rtl/>
        </w:rPr>
        <w:softHyphen/>
        <w:t>گری پالایشگاه مورد بررسی و مطالعه قرار گرفته و پس از جمع</w:t>
      </w:r>
      <w:r w:rsidRPr="00B139EE">
        <w:rPr>
          <w:rFonts w:ascii="BNazanin" w:eastAsia="Calibri" w:cs="B Nazanin" w:hint="cs"/>
          <w:b/>
          <w:bCs/>
          <w:rtl/>
        </w:rPr>
        <w:softHyphen/>
        <w:t>آوری اطلاعات مورد نظر، شبیه</w:t>
      </w:r>
      <w:r w:rsidRPr="00B139EE">
        <w:rPr>
          <w:rFonts w:ascii="BNazanin" w:eastAsia="Calibri" w:cs="B Nazanin" w:hint="cs"/>
          <w:b/>
          <w:bCs/>
          <w:rtl/>
        </w:rPr>
        <w:softHyphen/>
        <w:t>سازی شبکه توزیع برق سالن مذکور در نرم افزار دیگسایلنت انجام شده است. در ادامه، مستندات مربوط به طراحی بانک</w:t>
      </w:r>
      <w:r w:rsidRPr="00B139EE">
        <w:rPr>
          <w:rFonts w:ascii="BNazanin" w:eastAsia="Calibri" w:cs="B Nazanin" w:hint="cs"/>
          <w:b/>
          <w:bCs/>
          <w:rtl/>
        </w:rPr>
        <w:softHyphen/>
        <w:t xml:space="preserve">های خازنی به </w:t>
      </w:r>
      <w:r w:rsidRPr="00B139EE">
        <w:rPr>
          <w:rFonts w:ascii="BNazanin" w:eastAsia="Calibri" w:cs="B Nazanin" w:hint="cs"/>
          <w:b/>
          <w:bCs/>
          <w:rtl/>
        </w:rPr>
        <w:softHyphen/>
        <w:t>همراه بازدید</w:t>
      </w:r>
      <w:r w:rsidRPr="00B139EE">
        <w:rPr>
          <w:rFonts w:ascii="BNazanin" w:eastAsia="Calibri" w:cs="B Nazanin" w:hint="cs"/>
          <w:b/>
          <w:bCs/>
          <w:rtl/>
        </w:rPr>
        <w:softHyphen/>
        <w:t xml:space="preserve">های میدانی انجام شده مطالعه و مورد واکاوی قرار گرفت. دلیل سوختن </w:t>
      </w:r>
      <w:r w:rsidRPr="00B139EE">
        <w:rPr>
          <w:rFonts w:eastAsia="Calibri"/>
          <w:b/>
          <w:bCs/>
        </w:rPr>
        <w:t>SSR</w:t>
      </w:r>
      <w:r w:rsidRPr="00B139EE">
        <w:rPr>
          <w:rFonts w:ascii="BNazanin" w:eastAsia="Calibri" w:cs="B Nazanin" w:hint="cs"/>
          <w:b/>
          <w:bCs/>
          <w:rtl/>
        </w:rPr>
        <w:t xml:space="preserve"> با توجه به محاسبات انجام شده مشخص و سپس با نتایج شبیه</w:t>
      </w:r>
      <w:r w:rsidRPr="00B139EE">
        <w:rPr>
          <w:rFonts w:ascii="BNazanin" w:eastAsia="Calibri" w:cs="B Nazanin" w:hint="cs"/>
          <w:b/>
          <w:bCs/>
          <w:rtl/>
        </w:rPr>
        <w:softHyphen/>
        <w:t>سازی نرم افزاری تأیید گردید. بررسی</w:t>
      </w:r>
      <w:r w:rsidRPr="00B139EE">
        <w:rPr>
          <w:rFonts w:ascii="BNazanin" w:eastAsia="Calibri" w:cs="B Nazanin" w:hint="cs"/>
          <w:b/>
          <w:bCs/>
          <w:rtl/>
        </w:rPr>
        <w:softHyphen/>
        <w:t>های انجام شده، تشدید ناشی از هارمونیک پنجم در مجموعه سلف و خازن جبران</w:t>
      </w:r>
      <w:r w:rsidRPr="00B139EE">
        <w:rPr>
          <w:rFonts w:ascii="BNazanin" w:eastAsia="Calibri" w:cs="B Nazanin" w:hint="cs"/>
          <w:b/>
          <w:bCs/>
          <w:rtl/>
        </w:rPr>
        <w:softHyphen/>
        <w:t>سازها را به عنوان مهم</w:t>
      </w:r>
      <w:r w:rsidRPr="00B139EE">
        <w:rPr>
          <w:rFonts w:ascii="BNazanin" w:eastAsia="Calibri" w:cs="B Nazanin" w:hint="cs"/>
          <w:b/>
          <w:bCs/>
          <w:rtl/>
        </w:rPr>
        <w:softHyphen/>
        <w:t xml:space="preserve">ترین دلیل سوختن </w:t>
      </w:r>
      <w:r w:rsidRPr="00B139EE">
        <w:rPr>
          <w:rFonts w:eastAsia="Calibri"/>
          <w:b/>
          <w:bCs/>
        </w:rPr>
        <w:t>SSR</w:t>
      </w:r>
      <w:r w:rsidRPr="00B139EE">
        <w:rPr>
          <w:rFonts w:ascii="BNazanin" w:eastAsia="Calibri" w:cs="B Nazanin" w:hint="cs"/>
          <w:b/>
          <w:bCs/>
          <w:rtl/>
        </w:rPr>
        <w:t xml:space="preserve"> معرفی می</w:t>
      </w:r>
      <w:r w:rsidRPr="00B139EE">
        <w:rPr>
          <w:rFonts w:ascii="BNazanin" w:eastAsia="Calibri" w:cs="B Nazanin"/>
          <w:b/>
          <w:bCs/>
          <w:rtl/>
        </w:rPr>
        <w:softHyphen/>
      </w:r>
      <w:r w:rsidRPr="00B139EE">
        <w:rPr>
          <w:rFonts w:ascii="BNazanin" w:eastAsia="Calibri" w:cs="B Nazanin" w:hint="cs"/>
          <w:b/>
          <w:bCs/>
          <w:rtl/>
        </w:rPr>
        <w:t>کند. همچنین راه حل مسأله که منجر به تغییر فرکانس تشدید مجموعه می</w:t>
      </w:r>
      <w:r w:rsidRPr="00B139EE">
        <w:rPr>
          <w:rFonts w:ascii="BNazanin" w:eastAsia="Calibri" w:cs="B Nazanin" w:hint="cs"/>
          <w:b/>
          <w:bCs/>
          <w:rtl/>
        </w:rPr>
        <w:softHyphen/>
        <w:t>باشد، پیشنهاد و مورد شبیه</w:t>
      </w:r>
      <w:r w:rsidRPr="00B139EE">
        <w:rPr>
          <w:rFonts w:ascii="BNazanin" w:eastAsia="Calibri" w:cs="B Nazanin" w:hint="cs"/>
          <w:b/>
          <w:bCs/>
          <w:rtl/>
        </w:rPr>
        <w:softHyphen/>
        <w:t>سازی قرار گرفت که شبیه</w:t>
      </w:r>
      <w:r w:rsidRPr="00B139EE">
        <w:rPr>
          <w:rFonts w:ascii="BNazanin" w:eastAsia="Calibri" w:cs="B Nazanin"/>
          <w:b/>
          <w:bCs/>
          <w:rtl/>
        </w:rPr>
        <w:softHyphen/>
      </w:r>
      <w:r w:rsidRPr="00B139EE">
        <w:rPr>
          <w:rFonts w:ascii="BNazanin" w:eastAsia="Calibri" w:cs="B Nazanin" w:hint="cs"/>
          <w:b/>
          <w:bCs/>
          <w:rtl/>
        </w:rPr>
        <w:t>سازی انجام شده موید صحت نتایج می</w:t>
      </w:r>
      <w:r w:rsidRPr="00B139EE">
        <w:rPr>
          <w:rFonts w:ascii="BNazanin" w:eastAsia="Calibri" w:cs="B Nazanin" w:hint="cs"/>
          <w:b/>
          <w:bCs/>
          <w:rtl/>
        </w:rPr>
        <w:softHyphen/>
        <w:t xml:space="preserve">باشد. </w:t>
      </w:r>
    </w:p>
    <w:p w:rsidR="00077B7C" w:rsidRDefault="00077B7C" w:rsidP="00077B7C">
      <w:pPr>
        <w:bidi/>
        <w:spacing w:after="160" w:line="259" w:lineRule="auto"/>
        <w:ind w:left="720" w:hanging="720"/>
        <w:jc w:val="both"/>
        <w:rPr>
          <w:rFonts w:ascii="BNazanin" w:eastAsia="Calibri" w:cs="B Nazanin"/>
          <w:sz w:val="18"/>
          <w:szCs w:val="18"/>
        </w:rPr>
      </w:pPr>
      <w:r w:rsidRPr="00B139EE">
        <w:rPr>
          <w:rFonts w:ascii="BNazanin" w:eastAsia="Calibri" w:cs="B Nazanin" w:hint="cs"/>
          <w:b/>
          <w:bCs/>
          <w:rtl/>
        </w:rPr>
        <w:t>کلید واژه</w:t>
      </w:r>
      <w:r w:rsidRPr="00B139EE">
        <w:rPr>
          <w:rFonts w:ascii="BNazanin" w:eastAsia="Calibri" w:cs="B Nazanin" w:hint="cs"/>
          <w:rtl/>
        </w:rPr>
        <w:t>: جبران</w:t>
      </w:r>
      <w:r w:rsidRPr="00B139EE">
        <w:rPr>
          <w:rFonts w:ascii="BNazanin" w:eastAsia="Calibri" w:cs="B Nazanin"/>
          <w:rtl/>
        </w:rPr>
        <w:softHyphen/>
      </w:r>
      <w:r w:rsidRPr="00B139EE">
        <w:rPr>
          <w:rFonts w:ascii="BNazanin" w:eastAsia="Calibri" w:cs="B Nazanin" w:hint="cs"/>
          <w:rtl/>
        </w:rPr>
        <w:t>سازی توان راکتیو، فیلتر</w:t>
      </w:r>
      <w:r w:rsidRPr="00B139EE">
        <w:rPr>
          <w:rFonts w:ascii="BNazanin" w:eastAsia="Calibri" w:cs="B Nazanin"/>
          <w:rtl/>
        </w:rPr>
        <w:softHyphen/>
      </w:r>
      <w:r w:rsidRPr="00B139EE">
        <w:rPr>
          <w:rFonts w:ascii="BNazanin" w:eastAsia="Calibri" w:cs="B Nazanin" w:hint="cs"/>
          <w:rtl/>
        </w:rPr>
        <w:t>های دیتیون شده، هارمونیک</w:t>
      </w:r>
      <w:r w:rsidRPr="00B139EE">
        <w:rPr>
          <w:rFonts w:ascii="BNazanin" w:eastAsia="Calibri" w:cs="B Nazanin" w:hint="cs"/>
          <w:rtl/>
        </w:rPr>
        <w:softHyphen/>
        <w:t>ها</w:t>
      </w:r>
    </w:p>
    <w:p w:rsidR="00755BE7" w:rsidRDefault="00755BE7" w:rsidP="00077B7C">
      <w:pPr>
        <w:bidi/>
      </w:pPr>
    </w:p>
    <w:sectPr w:rsidR="00755B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BE7" w:rsidRDefault="00755BE7" w:rsidP="00077B7C">
      <w:pPr>
        <w:spacing w:after="0" w:line="240" w:lineRule="auto"/>
      </w:pPr>
      <w:r>
        <w:separator/>
      </w:r>
    </w:p>
  </w:endnote>
  <w:endnote w:type="continuationSeparator" w:id="1">
    <w:p w:rsidR="00755BE7" w:rsidRDefault="00755BE7" w:rsidP="00077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BE7" w:rsidRDefault="00755BE7" w:rsidP="00077B7C">
      <w:pPr>
        <w:spacing w:after="0" w:line="240" w:lineRule="auto"/>
      </w:pPr>
      <w:r>
        <w:separator/>
      </w:r>
    </w:p>
  </w:footnote>
  <w:footnote w:type="continuationSeparator" w:id="1">
    <w:p w:rsidR="00755BE7" w:rsidRDefault="00755BE7" w:rsidP="00077B7C">
      <w:pPr>
        <w:spacing w:after="0" w:line="240" w:lineRule="auto"/>
      </w:pPr>
      <w:r>
        <w:continuationSeparator/>
      </w:r>
    </w:p>
  </w:footnote>
  <w:footnote w:id="2">
    <w:p w:rsidR="00077B7C" w:rsidRDefault="00077B7C" w:rsidP="00077B7C">
      <w:pPr>
        <w:pStyle w:val="FootnoteText"/>
        <w:rPr>
          <w:rFonts w:cs="B Nazanin"/>
          <w:b/>
          <w:bCs/>
          <w:lang w:val="en-GB" w:bidi="fa-IR"/>
        </w:rPr>
      </w:pPr>
      <w:r>
        <w:rPr>
          <w:rStyle w:val="FootnoteReference"/>
          <w:b/>
          <w:bCs/>
          <w:sz w:val="18"/>
          <w:szCs w:val="18"/>
        </w:rPr>
        <w:footnoteRef/>
      </w:r>
      <w:r>
        <w:rPr>
          <w:b/>
          <w:bCs/>
          <w:sz w:val="18"/>
          <w:szCs w:val="18"/>
        </w:rPr>
        <w:t xml:space="preserve">Corresponding author: </w:t>
      </w:r>
      <w:r>
        <w:rPr>
          <w:rFonts w:cs="B Nazanin" w:hint="cs"/>
          <w:b/>
          <w:bCs/>
          <w:sz w:val="18"/>
          <w:szCs w:val="18"/>
          <w:rtl/>
        </w:rPr>
        <w:t>عضو هیئت علمی دانشگاه ولی عصر (عج) رفسنجان</w:t>
      </w:r>
    </w:p>
    <w:p w:rsidR="00077B7C" w:rsidRDefault="00077B7C" w:rsidP="00077B7C">
      <w:pPr>
        <w:pStyle w:val="FootnoteText"/>
        <w:rPr>
          <w:b/>
          <w:bCs/>
          <w:sz w:val="16"/>
          <w:szCs w:val="16"/>
          <w:rtl/>
        </w:rPr>
      </w:pPr>
      <w:r>
        <w:rPr>
          <w:rFonts w:cs="B Nazanin"/>
          <w:b/>
          <w:bCs/>
          <w:sz w:val="18"/>
          <w:szCs w:val="18"/>
          <w:lang w:bidi="fa-IR"/>
        </w:rPr>
        <w:t xml:space="preserve">Email: </w:t>
      </w:r>
      <w:r w:rsidRPr="00B139EE">
        <w:rPr>
          <w:rFonts w:cs="B Nazanin"/>
          <w:sz w:val="22"/>
          <w:szCs w:val="22"/>
        </w:rPr>
        <w:t>aien@vru.ac.ir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7B7C"/>
    <w:rsid w:val="00077B7C"/>
    <w:rsid w:val="00755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77B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7B7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077B7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2020-12-23T13:02:00Z</dcterms:created>
  <dcterms:modified xsi:type="dcterms:W3CDTF">2020-12-23T13:03:00Z</dcterms:modified>
</cp:coreProperties>
</file>